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常州大学专利系统发明人端操作说明</w:t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首页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0340" cy="2489200"/>
            <wp:effectExtent l="0" t="0" r="1651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提案管理</w:t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提案是指专利申请校内审核阶段的案件，用以区分已经分配到代理所代理的案件。提案管理下常用功能包括：</w:t>
      </w:r>
    </w:p>
    <w:p>
      <w:pPr>
        <w:numPr>
          <w:ilvl w:val="1"/>
          <w:numId w:val="1"/>
        </w:numPr>
        <w:ind w:left="840" w:leftChars="0" w:hanging="420" w:firstLineChars="0"/>
        <w:outlineLvl w:val="1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发起提案</w:t>
      </w:r>
    </w:p>
    <w:p>
      <w:pPr>
        <w:numPr>
          <w:ilvl w:val="0"/>
          <w:numId w:val="2"/>
        </w:numPr>
        <w:ind w:left="1265" w:leftChars="0" w:hanging="425" w:firstLineChars="0"/>
        <w:outlineLvl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进入新增提案页面</w:t>
      </w:r>
    </w:p>
    <w:p>
      <w:pPr>
        <w:numPr>
          <w:ilvl w:val="0"/>
          <w:numId w:val="3"/>
        </w:numPr>
        <w:ind w:left="168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通过首页的【新增提案】快捷菜单进入</w:t>
      </w:r>
    </w:p>
    <w:p>
      <w:pPr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940935" cy="2287270"/>
            <wp:effectExtent l="0" t="0" r="12065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168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点击左侧导航菜单的【提案管理】菜单，进入提案管理列表页面。点击【新增】按钮进入</w:t>
      </w:r>
    </w:p>
    <w:p>
      <w:pPr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4912995" cy="3436620"/>
            <wp:effectExtent l="0" t="0" r="190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1265" w:leftChars="0" w:hanging="425" w:firstLineChars="0"/>
        <w:outlineLvl w:val="2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填写案件信息</w:t>
      </w:r>
    </w:p>
    <w:p>
      <w:pPr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【新增提案】页面内，有红色边框的控件为必填信息，不填写无法提交。默认包含的必填信息包括【提案名称】、【技术交底】、【所属部门】和【服务机构】。</w:t>
      </w:r>
    </w:p>
    <w:p>
      <w:pPr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0975" cy="2317750"/>
            <wp:effectExtent l="0" t="0" r="1587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2880" cy="2260600"/>
            <wp:effectExtent l="0" t="0" r="1397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26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其他必填信息系统都为其设置了默认值，需要根据实际情况进行修改。这里重点说明以下几个比较重要字段的含义：</w:t>
      </w:r>
    </w:p>
    <w:p>
      <w:pPr>
        <w:numPr>
          <w:ilvl w:val="0"/>
          <w:numId w:val="4"/>
        </w:numPr>
        <w:ind w:left="210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申请途径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3190875" cy="11811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申请途径包括国内申请、PCT申请和巴黎公约申请三种类型。是划分案件是否为涉外案件的条件。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4"/>
        </w:numPr>
        <w:ind w:left="210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申请地区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135" cy="1697355"/>
            <wp:effectExtent l="0" t="0" r="5715" b="171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申请地区是专利发起申请的所在国。正常国内申请默认都为中国。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它是PCT国际申请的发起国。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它不等于PCT国际申请的意向进入国。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而当专利是PCT国家申请或巴黎公约申请时，他则是专利进入国。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lang w:val="en-US" w:eastAsia="zh-CN"/>
        </w:rPr>
        <w:t>PS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：简单来说就是你在哪个国家发起申请，这个地区选项就选哪国。你要通过PCT国家申请或巴黎公约进入哪国，这个地区选项就选哪国。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numPr>
          <w:ilvl w:val="0"/>
          <w:numId w:val="4"/>
        </w:numPr>
        <w:ind w:left="210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业务类型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业务类型根据申请途径不同，可选范围也不同。</w:t>
      </w:r>
    </w:p>
    <w:p>
      <w:pPr>
        <w:numPr>
          <w:ilvl w:val="0"/>
          <w:numId w:val="5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国内申请常用选项包括：【单件专利申请】、【同报专利申请】</w:t>
      </w:r>
    </w:p>
    <w:p>
      <w:pPr>
        <w:numPr>
          <w:ilvl w:val="0"/>
          <w:numId w:val="0"/>
        </w:numPr>
        <w:ind w:left="2100" w:left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如果是同报申请，就选择【同报专利申请】业务类型，其他均可选【单件专利申请】。同报案件在学校审核通过后，会自动分成发明和实用两件专利。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135" cy="1051560"/>
            <wp:effectExtent l="0" t="0" r="5715" b="152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ii、PCT申请常用选项包括：【PCT国际申请】、【PCT国家申请】，请根据实际情况选择。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133975" cy="14192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iii、巴黎公约申请选择【巴黎公约】</w:t>
      </w:r>
    </w:p>
    <w:p>
      <w:pPr>
        <w:numPr>
          <w:ilvl w:val="0"/>
          <w:numId w:val="0"/>
        </w:numPr>
        <w:ind w:left="1680" w:leftChars="0" w:firstLine="420" w:firstLineChars="0"/>
      </w:pPr>
      <w:r>
        <w:drawing>
          <wp:inline distT="0" distB="0" distL="114300" distR="114300">
            <wp:extent cx="5266690" cy="291465"/>
            <wp:effectExtent l="0" t="0" r="10160" b="133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80" w:leftChars="0"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4"/>
        </w:numPr>
        <w:ind w:left="210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技术交底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技术交底书为附件形式上传，可以一次选择多个文件一起上传。文件格式不限，但是文件名中不能包含英文</w:t>
      </w:r>
      <w:bookmarkStart w:id="0" w:name="_GoBack"/>
      <w:bookmarkEnd w:id="0"/>
      <w:r>
        <w:rPr>
          <w:rFonts w:hint="eastAsia" w:ascii="微软雅黑" w:hAnsi="微软雅黑" w:eastAsia="微软雅黑" w:cs="微软雅黑"/>
          <w:lang w:val="en-US" w:eastAsia="zh-CN"/>
        </w:rPr>
        <w:t>逗号（,），并且单个文件不能大于40M。</w:t>
      </w:r>
    </w:p>
    <w:p>
      <w:pPr>
        <w:numPr>
          <w:ilvl w:val="0"/>
          <w:numId w:val="4"/>
        </w:numPr>
        <w:ind w:left="210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发明实用同报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5420" cy="464185"/>
            <wp:effectExtent l="0" t="0" r="11430" b="1206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1680" w:leftChars="0" w:firstLine="420" w:firstLineChars="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此处选项与【国内申请】的【同报专利申请】业务类型联动，学校申请通过后会自动分成发明与实用两件专利。</w:t>
      </w:r>
    </w:p>
    <w:p>
      <w:pPr>
        <w:numPr>
          <w:ilvl w:val="0"/>
          <w:numId w:val="4"/>
        </w:numPr>
        <w:ind w:left="2105" w:leftChars="0" w:hanging="425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发明与PCT同报</w:t>
      </w:r>
    </w:p>
    <w:p>
      <w:pPr>
        <w:numPr>
          <w:ilvl w:val="0"/>
          <w:numId w:val="0"/>
        </w:numPr>
        <w:ind w:left="168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【发明与PCT同报】的作用和【发明与实用同报】功能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不一样</w:t>
      </w:r>
      <w:r>
        <w:rPr>
          <w:rFonts w:hint="eastAsia" w:ascii="微软雅黑" w:hAnsi="微软雅黑" w:eastAsia="微软雅黑" w:cs="微软雅黑"/>
          <w:lang w:val="en-US" w:eastAsia="zh-CN"/>
        </w:rPr>
        <w:t>，在审核通过后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不会</w:t>
      </w:r>
      <w:r>
        <w:rPr>
          <w:rFonts w:hint="eastAsia" w:ascii="微软雅黑" w:hAnsi="微软雅黑" w:eastAsia="微软雅黑" w:cs="微软雅黑"/>
          <w:lang w:val="en-US" w:eastAsia="zh-CN"/>
        </w:rPr>
        <w:t>分成【发明】与【PCT】两件专利，而是起到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告知代理机构和代理人的作用，让代理机构能够做好安排和选择合适的代理人</w:t>
      </w:r>
      <w:r>
        <w:rPr>
          <w:rFonts w:hint="eastAsia" w:ascii="微软雅黑" w:hAnsi="微软雅黑" w:eastAsia="微软雅黑" w:cs="微软雅黑"/>
          <w:lang w:val="en-US" w:eastAsia="zh-CN"/>
        </w:rPr>
        <w:t>。</w:t>
      </w:r>
    </w:p>
    <w:p>
      <w:pPr>
        <w:numPr>
          <w:ilvl w:val="1"/>
          <w:numId w:val="1"/>
        </w:numPr>
        <w:ind w:left="840" w:leftChars="0" w:hanging="420" w:firstLineChars="0"/>
        <w:outlineLvl w:val="1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提案修改和删除</w:t>
      </w:r>
    </w:p>
    <w:p>
      <w:pPr>
        <w:numPr>
          <w:ilvl w:val="0"/>
          <w:numId w:val="0"/>
        </w:numPr>
        <w:ind w:left="420" w:leftChars="0" w:firstLine="420" w:firstLineChars="0"/>
        <w:outlineLvl w:val="1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发明人发起提案后，在管理员审核通过之前，都可以进行修改和删除。在【提案管理列表】页面，点击【修改按钮】，进入提案修改页面进行修改。操作与新增提案相同。</w:t>
      </w:r>
    </w:p>
    <w:p>
      <w:pPr>
        <w:numPr>
          <w:ilvl w:val="0"/>
          <w:numId w:val="0"/>
        </w:numPr>
        <w:ind w:left="420" w:leftChars="0" w:firstLine="420" w:firstLineChars="0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8858885" cy="1928495"/>
            <wp:effectExtent l="0" t="0" r="571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outlineLvl w:val="1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提案审核退回</w:t>
      </w:r>
    </w:p>
    <w:p>
      <w:pPr>
        <w:numPr>
          <w:ilvl w:val="0"/>
          <w:numId w:val="6"/>
        </w:numPr>
        <w:ind w:left="420" w:leftChars="0" w:firstLine="420" w:firstLineChars="0"/>
        <w:outlineLvl w:val="1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当提案申请被管理员退回后，提案状态会变为【待提交】。</w:t>
      </w:r>
    </w:p>
    <w:p>
      <w:pPr>
        <w:numPr>
          <w:ilvl w:val="0"/>
          <w:numId w:val="0"/>
        </w:numPr>
        <w:ind w:left="840" w:leftChars="0" w:firstLine="420" w:firstLineChars="0"/>
        <w:outlineLvl w:val="9"/>
        <w:rPr>
          <w:rFonts w:hint="eastAsia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8856345" cy="2050415"/>
            <wp:effectExtent l="0" t="0" r="8255" b="698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="420" w:leftChars="0" w:firstLine="420" w:firstLineChars="0"/>
        <w:outlineLvl w:val="1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此时如果需要修改后继续提交时，可以点击【修改按钮】进入修改页面，在修改页面中根据【退回原因】，修改提案信息后再次提交。</w:t>
      </w:r>
    </w:p>
    <w:p>
      <w:pPr>
        <w:numPr>
          <w:ilvl w:val="0"/>
          <w:numId w:val="0"/>
        </w:numPr>
        <w:ind w:left="840" w:leftChars="0" w:firstLine="420" w:firstLineChars="0"/>
        <w:outlineLvl w:val="9"/>
        <w:rPr>
          <w:rFonts w:hint="default" w:ascii="微软雅黑" w:hAnsi="微软雅黑" w:eastAsia="微软雅黑" w:cs="微软雅黑"/>
          <w:lang w:val="en-US" w:eastAsia="zh-CN"/>
        </w:rPr>
      </w:pPr>
      <w:r>
        <w:drawing>
          <wp:inline distT="0" distB="0" distL="114300" distR="114300">
            <wp:extent cx="8857615" cy="3799840"/>
            <wp:effectExtent l="0" t="0" r="6985" b="1016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专利管理</w:t>
      </w:r>
    </w:p>
    <w:p>
      <w:pPr>
        <w:numPr>
          <w:ilvl w:val="1"/>
          <w:numId w:val="1"/>
        </w:numPr>
        <w:ind w:left="840" w:leftChars="0" w:hanging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修改部门</w:t>
      </w:r>
    </w:p>
    <w:p>
      <w:pPr>
        <w:numPr>
          <w:ilvl w:val="0"/>
          <w:numId w:val="0"/>
        </w:numPr>
        <w:ind w:left="420" w:leftChars="0" w:firstLine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发明人部门变动，并且专利所属部门也跟随变动的时候，可是通过【修改部门】功能来单个或批量修改。操作方法是，先选中要修改的案件，然后点击【修改部门】按钮，在弹出的页面中，选择新的专利所属部门。</w:t>
      </w:r>
    </w:p>
    <w:p>
      <w:pPr>
        <w:numPr>
          <w:ilvl w:val="0"/>
          <w:numId w:val="0"/>
        </w:numPr>
        <w:ind w:left="420" w:leftChars="0" w:firstLine="420" w:firstLineChars="0"/>
        <w:outlineLvl w:val="9"/>
      </w:pPr>
      <w:r>
        <w:drawing>
          <wp:inline distT="0" distB="0" distL="114300" distR="114300">
            <wp:extent cx="3295650" cy="2590800"/>
            <wp:effectExtent l="0" t="0" r="6350" b="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 w:firstLine="420" w:firstLineChars="0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6902450" cy="4089400"/>
            <wp:effectExtent l="0" t="0" r="6350" b="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0245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修改发明人</w:t>
      </w:r>
    </w:p>
    <w:p>
      <w:pPr>
        <w:numPr>
          <w:ilvl w:val="0"/>
          <w:numId w:val="0"/>
        </w:numPr>
        <w:ind w:left="420" w:leftChars="0" w:firstLine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在案件处于代理定稿阶段，系统内的状态为【待受理】之前，发明人都可以对案件的所属申请人、发明人和联系人进行调整。</w:t>
      </w:r>
    </w:p>
    <w:p>
      <w:pPr>
        <w:numPr>
          <w:ilvl w:val="0"/>
          <w:numId w:val="0"/>
        </w:numPr>
        <w:ind w:left="420" w:leftChars="0" w:firstLine="420" w:firstLineChars="0"/>
        <w:outlineLvl w:val="9"/>
      </w:pPr>
      <w:r>
        <w:drawing>
          <wp:inline distT="0" distB="0" distL="114300" distR="114300">
            <wp:extent cx="6978650" cy="1397000"/>
            <wp:effectExtent l="0" t="0" r="6350" b="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 w:firstLine="420" w:firstLineChars="0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8860155" cy="3913505"/>
            <wp:effectExtent l="0" t="0" r="4445" b="1079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"/>
        </w:numPr>
        <w:ind w:left="840" w:leftChars="0" w:hanging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修改联系人</w:t>
      </w:r>
    </w:p>
    <w:p>
      <w:pPr>
        <w:numPr>
          <w:ilvl w:val="0"/>
          <w:numId w:val="0"/>
        </w:numPr>
        <w:ind w:left="420" w:leftChars="0" w:firstLine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当案件的定稿文件已经递交出去，系统内的状态为【待受理】及之后的状态时，发明人就不能再进行案件申请人和案件发明人的修改，只能修改联系人信息。</w:t>
      </w:r>
    </w:p>
    <w:p>
      <w:pPr>
        <w:numPr>
          <w:ilvl w:val="0"/>
          <w:numId w:val="0"/>
        </w:numPr>
        <w:ind w:left="420" w:leftChars="0" w:firstLine="420" w:firstLineChars="0"/>
        <w:outlineLvl w:val="9"/>
      </w:pPr>
      <w:r>
        <w:drawing>
          <wp:inline distT="0" distB="0" distL="114300" distR="114300">
            <wp:extent cx="6819900" cy="3486150"/>
            <wp:effectExtent l="0" t="0" r="0" b="6350"/>
            <wp:docPr id="2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420" w:leftChars="0" w:firstLine="420" w:firstLineChars="0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8858250" cy="3925570"/>
            <wp:effectExtent l="0" t="0" r="6350" b="11430"/>
            <wp:docPr id="2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个人信息修改</w:t>
      </w:r>
    </w:p>
    <w:p>
      <w:pPr>
        <w:numPr>
          <w:ilvl w:val="0"/>
          <w:numId w:val="0"/>
        </w:numPr>
        <w:ind w:leftChars="0" w:firstLine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当我们更换手机号、改变邮箱地址时，一定要及时更新系统内的联系信息，此时，可以通过右上角的【个人信息修改】功能来更新系统内的个人信息，及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与本人有关的所有案件的联系电话和手机信息。（修改个人信息，会同步修改与本人有关的所有案件中的联系信息）</w:t>
      </w:r>
    </w:p>
    <w:p>
      <w:pPr>
        <w:numPr>
          <w:ilvl w:val="0"/>
          <w:numId w:val="0"/>
        </w:numPr>
        <w:ind w:leftChars="0" w:firstLine="420" w:firstLineChars="0"/>
        <w:outlineLvl w:val="9"/>
      </w:pPr>
      <w:r>
        <w:drawing>
          <wp:inline distT="0" distB="0" distL="114300" distR="114300">
            <wp:extent cx="2216150" cy="1689100"/>
            <wp:effectExtent l="0" t="0" r="6350" b="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8862695" cy="4298315"/>
            <wp:effectExtent l="0" t="0" r="1905" b="698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密码修改</w:t>
      </w:r>
    </w:p>
    <w:p>
      <w:pPr>
        <w:numPr>
          <w:ilvl w:val="0"/>
          <w:numId w:val="0"/>
        </w:numPr>
        <w:ind w:leftChars="0" w:firstLine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密码修改操作方式与其他系统的操作方式基本一致，先输入当前密码，在输入两次新密码即可。</w:t>
      </w:r>
    </w:p>
    <w:p>
      <w:pPr>
        <w:numPr>
          <w:ilvl w:val="0"/>
          <w:numId w:val="0"/>
        </w:numPr>
        <w:ind w:leftChars="0" w:firstLine="420" w:firstLineChars="0"/>
        <w:outlineLvl w:val="9"/>
      </w:pPr>
      <w:r>
        <w:drawing>
          <wp:inline distT="0" distB="0" distL="114300" distR="114300">
            <wp:extent cx="2070100" cy="1454150"/>
            <wp:effectExtent l="0" t="0" r="0" b="6350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outlineLvl w:val="9"/>
        <w:rPr>
          <w:rFonts w:hint="default"/>
          <w:lang w:val="en-US" w:eastAsia="zh-CN"/>
        </w:rPr>
      </w:pPr>
      <w:r>
        <w:drawing>
          <wp:inline distT="0" distB="0" distL="114300" distR="114300">
            <wp:extent cx="8863330" cy="4184650"/>
            <wp:effectExtent l="0" t="0" r="1270" b="6350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425" w:leftChars="0" w:hanging="425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多账户数据合并</w:t>
      </w:r>
    </w:p>
    <w:p>
      <w:pPr>
        <w:numPr>
          <w:ilvl w:val="0"/>
          <w:numId w:val="0"/>
        </w:numPr>
        <w:ind w:leftChars="0" w:firstLine="420" w:firstLineChars="0"/>
        <w:outlineLvl w:val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当发明人有多个一卡通号的系统账户，并且需要将多个账号中的专利数据合并到一个账号中时，就可以使用此功能。操作方式如下：</w:t>
      </w:r>
    </w:p>
    <w:p>
      <w:pPr>
        <w:numPr>
          <w:ilvl w:val="0"/>
          <w:numId w:val="7"/>
        </w:numPr>
        <w:ind w:left="845" w:leftChars="0" w:hanging="425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使用一卡通账号</w:t>
      </w: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（以后所使用的账号）</w:t>
      </w:r>
      <w:r>
        <w:rPr>
          <w:rFonts w:hint="eastAsia" w:ascii="微软雅黑" w:hAnsi="微软雅黑" w:eastAsia="微软雅黑" w:cs="微软雅黑"/>
          <w:lang w:val="en-US" w:eastAsia="zh-CN"/>
        </w:rPr>
        <w:t>登陆系统，进入主页面。点击右上角登陆名，再下拉菜单中选择【多账户数据合并】。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2405" cy="1284605"/>
            <wp:effectExtent l="0" t="0" r="1079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ind w:left="845" w:leftChars="0" w:hanging="425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填写原账户登陆名和身份证号，如果原账号是注册账号，还需要输入密码。然后点击【保存】。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4785" cy="2551430"/>
            <wp:effectExtent l="0" t="0" r="5715" b="127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 w:ascii="微软雅黑" w:hAnsi="微软雅黑" w:eastAsia="微软雅黑" w:cs="微软雅黑"/>
          <w:b/>
          <w:bCs/>
          <w:color w:val="FF0000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PS：需要注意的是当前登录账号必须为以后使用的主账号，填写的账号在合并后将被删除，并且无法找回。</w:t>
      </w:r>
    </w:p>
    <w:p>
      <w:pPr>
        <w:numPr>
          <w:ilvl w:val="0"/>
          <w:numId w:val="0"/>
        </w:numPr>
        <w:ind w:leftChars="0" w:firstLine="420" w:firstLineChars="0"/>
        <w:outlineLvl w:val="9"/>
        <w:rPr>
          <w:rFonts w:hint="default" w:ascii="微软雅黑" w:hAnsi="微软雅黑" w:eastAsia="微软雅黑" w:cs="微软雅黑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A547E"/>
    <w:multiLevelType w:val="multilevel"/>
    <w:tmpl w:val="A7DA547E"/>
    <w:lvl w:ilvl="0" w:tentative="0">
      <w:start w:val="1"/>
      <w:numFmt w:val="lowerLetter"/>
      <w:lvlText w:val="%1."/>
      <w:lvlJc w:val="left"/>
      <w:pPr>
        <w:tabs>
          <w:tab w:val="left" w:pos="1680"/>
        </w:tabs>
        <w:ind w:left="210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252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680"/>
        </w:tabs>
        <w:ind w:left="294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336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378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940"/>
        </w:tabs>
        <w:ind w:left="420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462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504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4200"/>
        </w:tabs>
        <w:ind w:left="5460" w:leftChars="0" w:hanging="420" w:firstLineChars="0"/>
      </w:pPr>
      <w:rPr>
        <w:rFonts w:hint="default"/>
      </w:rPr>
    </w:lvl>
  </w:abstractNum>
  <w:abstractNum w:abstractNumId="1">
    <w:nsid w:val="B3B1666F"/>
    <w:multiLevelType w:val="singleLevel"/>
    <w:tmpl w:val="B3B1666F"/>
    <w:lvl w:ilvl="0" w:tentative="0">
      <w:start w:val="1"/>
      <w:numFmt w:val="lowerLetter"/>
      <w:lvlText w:val="%1."/>
      <w:lvlJc w:val="left"/>
      <w:pPr>
        <w:tabs>
          <w:tab w:val="left" w:pos="1260"/>
        </w:tabs>
        <w:ind w:left="1685" w:hanging="425"/>
      </w:pPr>
      <w:rPr>
        <w:rFonts w:hint="default"/>
      </w:rPr>
    </w:lvl>
  </w:abstractNum>
  <w:abstractNum w:abstractNumId="2">
    <w:nsid w:val="C25D609C"/>
    <w:multiLevelType w:val="multilevel"/>
    <w:tmpl w:val="C25D609C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126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840"/>
        </w:tabs>
        <w:ind w:left="1680" w:leftChars="0" w:hanging="420" w:firstLineChars="0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1260"/>
        </w:tabs>
        <w:ind w:left="2100" w:leftChars="0" w:hanging="420" w:firstLineChars="0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1680"/>
        </w:tabs>
        <w:ind w:left="2520" w:leftChars="0" w:hanging="420" w:firstLineChars="0"/>
      </w:pPr>
      <w:rPr>
        <w:rFonts w:hint="default"/>
      </w:rPr>
    </w:lvl>
    <w:lvl w:ilvl="4" w:tentative="0">
      <w:start w:val="1"/>
      <w:numFmt w:val="lowerRoman"/>
      <w:lvlText w:val="%5)"/>
      <w:lvlJc w:val="left"/>
      <w:pPr>
        <w:tabs>
          <w:tab w:val="left" w:pos="2100"/>
        </w:tabs>
        <w:ind w:left="294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."/>
      <w:lvlJc w:val="left"/>
      <w:pPr>
        <w:tabs>
          <w:tab w:val="left" w:pos="2520"/>
        </w:tabs>
        <w:ind w:left="3360" w:leftChars="0" w:hanging="420" w:firstLineChars="0"/>
      </w:pPr>
      <w:rPr>
        <w:rFonts w:hint="default"/>
      </w:rPr>
    </w:lvl>
    <w:lvl w:ilvl="6" w:tentative="0">
      <w:start w:val="1"/>
      <w:numFmt w:val="lowerLetter"/>
      <w:lvlText w:val="%7)"/>
      <w:lvlJc w:val="left"/>
      <w:pPr>
        <w:tabs>
          <w:tab w:val="left" w:pos="2940"/>
        </w:tabs>
        <w:ind w:left="378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."/>
      <w:lvlJc w:val="left"/>
      <w:pPr>
        <w:tabs>
          <w:tab w:val="left" w:pos="3360"/>
        </w:tabs>
        <w:ind w:left="420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)"/>
      <w:lvlJc w:val="left"/>
      <w:pPr>
        <w:tabs>
          <w:tab w:val="left" w:pos="3780"/>
        </w:tabs>
        <w:ind w:left="4620" w:leftChars="0" w:hanging="420" w:firstLineChars="0"/>
      </w:pPr>
      <w:rPr>
        <w:rFonts w:hint="default"/>
      </w:rPr>
    </w:lvl>
  </w:abstractNum>
  <w:abstractNum w:abstractNumId="3">
    <w:nsid w:val="08B32466"/>
    <w:multiLevelType w:val="singleLevel"/>
    <w:tmpl w:val="08B32466"/>
    <w:lvl w:ilvl="0" w:tentative="0">
      <w:start w:val="1"/>
      <w:numFmt w:val="lowerRoman"/>
      <w:suff w:val="nothing"/>
      <w:lvlText w:val="%1、"/>
      <w:lvlJc w:val="left"/>
    </w:lvl>
  </w:abstractNum>
  <w:abstractNum w:abstractNumId="4">
    <w:nsid w:val="3DF29387"/>
    <w:multiLevelType w:val="singleLevel"/>
    <w:tmpl w:val="3DF29387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5">
    <w:nsid w:val="4E41DAE8"/>
    <w:multiLevelType w:val="multilevel"/>
    <w:tmpl w:val="4E41DAE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6">
    <w:nsid w:val="6B71295E"/>
    <w:multiLevelType w:val="singleLevel"/>
    <w:tmpl w:val="6B71295E"/>
    <w:lvl w:ilvl="0" w:tentative="0">
      <w:start w:val="1"/>
      <w:numFmt w:val="lowerLetter"/>
      <w:suff w:val="nothing"/>
      <w:lvlText w:val="%1、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B7E0B"/>
    <w:rsid w:val="026F1D52"/>
    <w:rsid w:val="07D9082D"/>
    <w:rsid w:val="0D1771C4"/>
    <w:rsid w:val="115A0E16"/>
    <w:rsid w:val="12E52E83"/>
    <w:rsid w:val="2734213D"/>
    <w:rsid w:val="281F14BB"/>
    <w:rsid w:val="294D7B33"/>
    <w:rsid w:val="2997524C"/>
    <w:rsid w:val="2B2B0F1A"/>
    <w:rsid w:val="2F000978"/>
    <w:rsid w:val="347C07D3"/>
    <w:rsid w:val="36183648"/>
    <w:rsid w:val="37296A11"/>
    <w:rsid w:val="38204CD5"/>
    <w:rsid w:val="39395CF9"/>
    <w:rsid w:val="3DCA4B4D"/>
    <w:rsid w:val="3E474440"/>
    <w:rsid w:val="403D2DCA"/>
    <w:rsid w:val="44A1613B"/>
    <w:rsid w:val="4552516D"/>
    <w:rsid w:val="49B9283E"/>
    <w:rsid w:val="505846E3"/>
    <w:rsid w:val="53712F23"/>
    <w:rsid w:val="57B76054"/>
    <w:rsid w:val="5B5B7E0B"/>
    <w:rsid w:val="65D05C0B"/>
    <w:rsid w:val="6A0F65F6"/>
    <w:rsid w:val="6A2E5B11"/>
    <w:rsid w:val="6AF05909"/>
    <w:rsid w:val="726A5494"/>
    <w:rsid w:val="76C21F3C"/>
    <w:rsid w:val="7F1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2021-12-21T07:12:00Z</dcterms:created>
  <dc:creator>行</dc:creator>
  <cp:lastModifiedBy>行</cp:lastModifiedBy>
  <dcterms:modified xsi:type="dcterms:W3CDTF">2021-12-22T02:50:57Z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3C2BBCF0A5C243F5A3230E3FED50AB15</vt:lpwstr>
  </property>
</Properties>
</file>