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DB4B0">
      <w:pPr>
        <w:jc w:val="center"/>
        <w:rPr>
          <w:rStyle w:val="9"/>
          <w:rFonts w:eastAsia="方正小标宋简体"/>
          <w:bCs w:val="0"/>
          <w:sz w:val="36"/>
          <w:szCs w:val="36"/>
        </w:rPr>
      </w:pPr>
      <w:r>
        <w:rPr>
          <w:rStyle w:val="9"/>
          <w:rFonts w:hint="eastAsia" w:eastAsia="方正小标宋简体"/>
          <w:b w:val="0"/>
          <w:color w:val="auto"/>
          <w:sz w:val="36"/>
          <w:szCs w:val="36"/>
        </w:rPr>
        <w:t>辽宁省科学技术进步奖提名公示信息</w:t>
      </w:r>
      <w:r>
        <w:rPr>
          <w:rStyle w:val="9"/>
          <w:rFonts w:eastAsia="仿宋_GB2312"/>
          <w:b w:val="0"/>
          <w:color w:val="auto"/>
          <w:sz w:val="32"/>
          <w:szCs w:val="32"/>
        </w:rPr>
        <w:t>（单位提名）</w:t>
      </w:r>
    </w:p>
    <w:p w14:paraId="62B98CB1">
      <w:pPr>
        <w:spacing w:line="440" w:lineRule="exact"/>
        <w:rPr>
          <w:rFonts w:eastAsia="仿宋_GB2312"/>
          <w:sz w:val="28"/>
          <w:szCs w:val="24"/>
        </w:rPr>
      </w:pPr>
      <w:r>
        <w:rPr>
          <w:rFonts w:eastAsia="仿宋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5"/>
        <w:gridCol w:w="6451"/>
      </w:tblGrid>
      <w:tr w14:paraId="361E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55" w:type="dxa"/>
            <w:vAlign w:val="center"/>
          </w:tcPr>
          <w:p w14:paraId="03574A75">
            <w:pPr>
              <w:spacing w:line="276" w:lineRule="auto"/>
              <w:jc w:val="center"/>
              <w:rPr>
                <w:rFonts w:eastAsia="仿宋"/>
                <w:bCs/>
                <w:sz w:val="28"/>
                <w:szCs w:val="24"/>
              </w:rPr>
            </w:pPr>
            <w:r>
              <w:rPr>
                <w:rFonts w:eastAsia="仿宋"/>
                <w:bCs/>
                <w:sz w:val="28"/>
                <w:szCs w:val="24"/>
              </w:rPr>
              <w:t>成果名称</w:t>
            </w:r>
          </w:p>
        </w:tc>
        <w:tc>
          <w:tcPr>
            <w:tcW w:w="6451" w:type="dxa"/>
            <w:vAlign w:val="center"/>
          </w:tcPr>
          <w:p w14:paraId="46D00A0C">
            <w:pPr>
              <w:spacing w:line="276" w:lineRule="auto"/>
              <w:jc w:val="center"/>
              <w:rPr>
                <w:rStyle w:val="9"/>
                <w:rFonts w:eastAsia="仿宋"/>
                <w:b w:val="0"/>
                <w:szCs w:val="22"/>
              </w:rPr>
            </w:pPr>
            <w:r>
              <w:rPr>
                <w:rStyle w:val="9"/>
                <w:rFonts w:hint="eastAsia" w:eastAsia="仿宋"/>
                <w:b w:val="0"/>
                <w:color w:val="000000" w:themeColor="text1"/>
                <w:szCs w:val="22"/>
                <w14:textFill>
                  <w14:solidFill>
                    <w14:schemeClr w14:val="tx1"/>
                  </w14:solidFill>
                </w14:textFill>
              </w:rPr>
              <w:t xml:space="preserve">大型露天矿复杂条件边坡稳定性精准评价与控制关键技术 </w:t>
            </w:r>
          </w:p>
        </w:tc>
      </w:tr>
      <w:tr w14:paraId="0E0C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55" w:type="dxa"/>
            <w:vAlign w:val="center"/>
          </w:tcPr>
          <w:p w14:paraId="45795F08">
            <w:pPr>
              <w:spacing w:line="276" w:lineRule="auto"/>
              <w:jc w:val="center"/>
              <w:rPr>
                <w:rFonts w:eastAsia="仿宋"/>
                <w:bCs/>
                <w:sz w:val="28"/>
                <w:szCs w:val="24"/>
              </w:rPr>
            </w:pPr>
            <w:r>
              <w:rPr>
                <w:rFonts w:eastAsia="仿宋"/>
                <w:bCs/>
                <w:sz w:val="28"/>
                <w:szCs w:val="24"/>
              </w:rPr>
              <w:t>提名等级</w:t>
            </w:r>
          </w:p>
        </w:tc>
        <w:tc>
          <w:tcPr>
            <w:tcW w:w="6451" w:type="dxa"/>
            <w:vAlign w:val="center"/>
          </w:tcPr>
          <w:p w14:paraId="5C3F9391">
            <w:pPr>
              <w:spacing w:line="276" w:lineRule="auto"/>
              <w:jc w:val="center"/>
              <w:rPr>
                <w:rStyle w:val="9"/>
                <w:rFonts w:eastAsia="仿宋"/>
                <w:b w:val="0"/>
                <w:sz w:val="28"/>
              </w:rPr>
            </w:pPr>
            <w:r>
              <w:rPr>
                <w:rStyle w:val="9"/>
                <w:rFonts w:hint="eastAsia" w:eastAsia="仿宋"/>
                <w:b w:val="0"/>
                <w:color w:val="000000" w:themeColor="text1"/>
                <w:szCs w:val="22"/>
                <w14:textFill>
                  <w14:solidFill>
                    <w14:schemeClr w14:val="tx1"/>
                  </w14:solidFill>
                </w14:textFill>
              </w:rPr>
              <w:t>二等奖</w:t>
            </w:r>
          </w:p>
        </w:tc>
      </w:tr>
      <w:tr w14:paraId="67545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0" w:hRule="atLeast"/>
        </w:trPr>
        <w:tc>
          <w:tcPr>
            <w:tcW w:w="2055" w:type="dxa"/>
            <w:vAlign w:val="center"/>
          </w:tcPr>
          <w:p w14:paraId="23648544">
            <w:pPr>
              <w:spacing w:line="276" w:lineRule="auto"/>
              <w:jc w:val="center"/>
              <w:rPr>
                <w:rFonts w:eastAsia="仿宋"/>
                <w:bCs/>
                <w:sz w:val="28"/>
                <w:szCs w:val="24"/>
              </w:rPr>
            </w:pPr>
            <w:r>
              <w:rPr>
                <w:rFonts w:eastAsia="仿宋"/>
                <w:bCs/>
                <w:sz w:val="28"/>
                <w:szCs w:val="24"/>
              </w:rPr>
              <w:t>提名书</w:t>
            </w:r>
          </w:p>
          <w:p w14:paraId="62593CAC">
            <w:pPr>
              <w:spacing w:line="276" w:lineRule="auto"/>
              <w:jc w:val="center"/>
              <w:rPr>
                <w:rFonts w:eastAsia="仿宋"/>
                <w:bCs/>
                <w:sz w:val="28"/>
                <w:szCs w:val="24"/>
              </w:rPr>
            </w:pPr>
            <w:r>
              <w:rPr>
                <w:rFonts w:eastAsia="仿宋"/>
                <w:bCs/>
                <w:sz w:val="28"/>
                <w:szCs w:val="24"/>
              </w:rPr>
              <w:t>相关内容</w:t>
            </w:r>
          </w:p>
        </w:tc>
        <w:tc>
          <w:tcPr>
            <w:tcW w:w="6451" w:type="dxa"/>
            <w:vAlign w:val="center"/>
          </w:tcPr>
          <w:p w14:paraId="0F017F03">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1</w:t>
            </w:r>
            <w:r>
              <w:rPr>
                <w:rFonts w:hint="eastAsia" w:eastAsia="仿宋"/>
                <w:szCs w:val="21"/>
              </w:rPr>
              <w:t>：一种端帮开采条件下边坡稳定性计算方法，辽宁工程技术大学，ZL202011138150.0</w:t>
            </w:r>
          </w:p>
          <w:p w14:paraId="1971FA4E">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2</w:t>
            </w:r>
            <w:r>
              <w:rPr>
                <w:rFonts w:hint="eastAsia" w:eastAsia="仿宋"/>
                <w:szCs w:val="21"/>
              </w:rPr>
              <w:t>：基于落石视频监测的露天矿岩质滑坡智能预警系统及方法，安徽理工大学;东北大学，ZL202211271788.0</w:t>
            </w:r>
          </w:p>
          <w:p w14:paraId="1077E814">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3</w:t>
            </w:r>
            <w:r>
              <w:rPr>
                <w:rFonts w:hint="eastAsia" w:eastAsia="仿宋"/>
                <w:szCs w:val="21"/>
              </w:rPr>
              <w:t>：一种基于多剖面生成露天矿边坡最危险三维滑面方法，辽宁工程技术大学，ZL202211401600.X</w:t>
            </w:r>
          </w:p>
          <w:p w14:paraId="238E6E70">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4</w:t>
            </w:r>
            <w:r>
              <w:rPr>
                <w:rFonts w:hint="eastAsia" w:eastAsia="仿宋"/>
                <w:szCs w:val="21"/>
              </w:rPr>
              <w:t>：一种基于数据分析的边坡安全监测系统，常州大学，ZL202410463882.9</w:t>
            </w:r>
          </w:p>
          <w:p w14:paraId="70AD3788">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5</w:t>
            </w:r>
            <w:r>
              <w:rPr>
                <w:rFonts w:hint="eastAsia" w:eastAsia="仿宋"/>
                <w:szCs w:val="21"/>
              </w:rPr>
              <w:t>：一种露天磷矿山岩质边坡灾害监测系统，齐鲁理工学院，NL2036907</w:t>
            </w:r>
          </w:p>
          <w:p w14:paraId="3AAF7983">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6</w:t>
            </w:r>
            <w:r>
              <w:rPr>
                <w:rFonts w:hint="eastAsia" w:eastAsia="仿宋"/>
                <w:szCs w:val="21"/>
              </w:rPr>
              <w:t>：一种露天矿边坡爆破过程稳定性的分析方法，辽宁工程技术大学，ZL201310723939.6</w:t>
            </w:r>
          </w:p>
          <w:p w14:paraId="3EC86B71">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7</w:t>
            </w:r>
            <w:r>
              <w:rPr>
                <w:rFonts w:hint="eastAsia" w:eastAsia="仿宋"/>
                <w:szCs w:val="21"/>
              </w:rPr>
              <w:t>：一种露天矿边坡在地震中稳定性的分析方法，辽宁工程技术大学，ZL201310726545.6</w:t>
            </w:r>
          </w:p>
          <w:p w14:paraId="38F6A024">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8</w:t>
            </w:r>
            <w:r>
              <w:rPr>
                <w:rFonts w:hint="eastAsia" w:eastAsia="仿宋"/>
                <w:szCs w:val="21"/>
              </w:rPr>
              <w:t>：一种适用于边坡支架加固的焊接装置，常州大学，ZL202410335084.8</w:t>
            </w:r>
          </w:p>
          <w:p w14:paraId="24023079">
            <w:pPr>
              <w:spacing w:before="78" w:beforeLines="25" w:line="276" w:lineRule="auto"/>
              <w:jc w:val="left"/>
              <w:rPr>
                <w:rFonts w:hint="eastAsia" w:eastAsia="仿宋"/>
                <w:szCs w:val="21"/>
              </w:rPr>
            </w:pPr>
            <w:r>
              <w:rPr>
                <w:rFonts w:hint="eastAsia" w:eastAsia="仿宋"/>
                <w:szCs w:val="21"/>
              </w:rPr>
              <w:t>知识产权</w:t>
            </w:r>
            <w:r>
              <w:rPr>
                <w:rFonts w:hint="eastAsia" w:eastAsia="仿宋"/>
                <w:szCs w:val="21"/>
                <w:lang w:val="en-US" w:eastAsia="zh-CN"/>
              </w:rPr>
              <w:t>9</w:t>
            </w:r>
            <w:r>
              <w:rPr>
                <w:rFonts w:hint="eastAsia" w:eastAsia="仿宋"/>
                <w:szCs w:val="21"/>
              </w:rPr>
              <w:t>：一种测试岩石自然断面摩擦系数装置及测试方法，辽宁工程技术大学，ZL201910489980.9</w:t>
            </w:r>
          </w:p>
          <w:p w14:paraId="47186003">
            <w:pPr>
              <w:spacing w:before="78" w:beforeLines="25" w:line="276" w:lineRule="auto"/>
              <w:jc w:val="left"/>
            </w:pPr>
            <w:r>
              <w:rPr>
                <w:rFonts w:hint="eastAsia" w:eastAsia="仿宋"/>
                <w:szCs w:val="21"/>
              </w:rPr>
              <w:t>知识产权</w:t>
            </w:r>
            <w:r>
              <w:rPr>
                <w:rFonts w:hint="eastAsia" w:eastAsia="仿宋"/>
                <w:szCs w:val="21"/>
                <w:lang w:val="en-US" w:eastAsia="zh-CN"/>
              </w:rPr>
              <w:t>10</w:t>
            </w:r>
            <w:r>
              <w:rPr>
                <w:rFonts w:hint="eastAsia" w:eastAsia="仿宋"/>
                <w:szCs w:val="21"/>
              </w:rPr>
              <w:t>：一种从钻孔岩芯照片中识别RQD的智能方法，东北大学，ZL202011137412.1</w:t>
            </w:r>
          </w:p>
        </w:tc>
      </w:tr>
      <w:tr w14:paraId="4A07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2055" w:type="dxa"/>
            <w:tcBorders>
              <w:right w:val="single" w:color="auto" w:sz="4" w:space="0"/>
            </w:tcBorders>
            <w:vAlign w:val="center"/>
          </w:tcPr>
          <w:p w14:paraId="2988C3BA">
            <w:pPr>
              <w:spacing w:line="276" w:lineRule="auto"/>
              <w:jc w:val="center"/>
              <w:rPr>
                <w:rFonts w:eastAsia="仿宋"/>
                <w:bCs/>
                <w:sz w:val="28"/>
                <w:szCs w:val="24"/>
              </w:rPr>
            </w:pPr>
            <w:r>
              <w:rPr>
                <w:rFonts w:eastAsia="仿宋"/>
                <w:bCs/>
                <w:sz w:val="28"/>
                <w:szCs w:val="24"/>
              </w:rPr>
              <w:t>主要完成人</w:t>
            </w:r>
          </w:p>
        </w:tc>
        <w:tc>
          <w:tcPr>
            <w:tcW w:w="6451" w:type="dxa"/>
            <w:tcBorders>
              <w:left w:val="single" w:color="auto" w:sz="4" w:space="0"/>
            </w:tcBorders>
            <w:vAlign w:val="center"/>
          </w:tcPr>
          <w:p w14:paraId="7BF33847">
            <w:pPr>
              <w:spacing w:line="288" w:lineRule="auto"/>
              <w:rPr>
                <w:rFonts w:eastAsia="仿宋"/>
                <w:bCs/>
                <w:sz w:val="24"/>
                <w:szCs w:val="24"/>
              </w:rPr>
            </w:pPr>
            <w:r>
              <w:rPr>
                <w:rFonts w:hint="eastAsia" w:cs="Times New Roman"/>
                <w:bCs/>
                <w:color w:val="000000"/>
                <w:sz w:val="24"/>
                <w:szCs w:val="24"/>
                <w:lang w:bidi="ar"/>
              </w:rPr>
              <w:t>姜聚宇，王来贵，刘飞跃，梁祖超，李小双，陈应显，张玉龙，马士博，周玉祥</w:t>
            </w:r>
          </w:p>
        </w:tc>
      </w:tr>
      <w:tr w14:paraId="0408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4" w:hRule="atLeast"/>
        </w:trPr>
        <w:tc>
          <w:tcPr>
            <w:tcW w:w="2055" w:type="dxa"/>
            <w:tcBorders>
              <w:right w:val="single" w:color="auto" w:sz="4" w:space="0"/>
            </w:tcBorders>
            <w:vAlign w:val="center"/>
          </w:tcPr>
          <w:p w14:paraId="0EF5FDAB">
            <w:pPr>
              <w:spacing w:line="276" w:lineRule="auto"/>
              <w:jc w:val="center"/>
              <w:rPr>
                <w:rFonts w:eastAsia="仿宋"/>
                <w:bCs/>
                <w:sz w:val="24"/>
                <w:szCs w:val="24"/>
              </w:rPr>
            </w:pPr>
            <w:r>
              <w:rPr>
                <w:rFonts w:eastAsia="仿宋"/>
                <w:bCs/>
                <w:sz w:val="28"/>
                <w:szCs w:val="24"/>
              </w:rPr>
              <w:t>主要完成单位</w:t>
            </w:r>
          </w:p>
        </w:tc>
        <w:tc>
          <w:tcPr>
            <w:tcW w:w="6451" w:type="dxa"/>
            <w:tcBorders>
              <w:left w:val="single" w:color="auto" w:sz="4" w:space="0"/>
            </w:tcBorders>
            <w:vAlign w:val="center"/>
          </w:tcPr>
          <w:p w14:paraId="0E113C73">
            <w:pPr>
              <w:spacing w:line="288" w:lineRule="auto"/>
              <w:rPr>
                <w:rFonts w:hint="eastAsia" w:cs="Times New Roman"/>
                <w:bCs/>
                <w:color w:val="000000"/>
                <w:sz w:val="24"/>
                <w:szCs w:val="24"/>
                <w:lang w:bidi="ar"/>
              </w:rPr>
            </w:pPr>
            <w:r>
              <w:rPr>
                <w:rFonts w:hint="eastAsia" w:cs="Times New Roman"/>
                <w:bCs/>
                <w:color w:val="000000"/>
                <w:sz w:val="24"/>
                <w:szCs w:val="24"/>
                <w:lang w:bidi="ar"/>
              </w:rPr>
              <w:t>1.辽宁工程技术大学；</w:t>
            </w:r>
          </w:p>
          <w:p w14:paraId="4648CB83">
            <w:pPr>
              <w:spacing w:line="288" w:lineRule="auto"/>
              <w:rPr>
                <w:rFonts w:hint="eastAsia" w:cs="Times New Roman"/>
                <w:bCs/>
                <w:color w:val="000000"/>
                <w:sz w:val="24"/>
                <w:szCs w:val="24"/>
                <w:lang w:bidi="ar"/>
              </w:rPr>
            </w:pPr>
            <w:r>
              <w:rPr>
                <w:rFonts w:hint="eastAsia" w:cs="Times New Roman"/>
                <w:bCs/>
                <w:color w:val="000000"/>
                <w:sz w:val="24"/>
                <w:szCs w:val="24"/>
                <w:lang w:bidi="ar"/>
              </w:rPr>
              <w:t>2.安徽理工大学</w:t>
            </w:r>
            <w:bookmarkStart w:id="0" w:name="_GoBack"/>
            <w:bookmarkEnd w:id="0"/>
          </w:p>
          <w:p w14:paraId="3E098568">
            <w:pPr>
              <w:spacing w:line="288" w:lineRule="auto"/>
              <w:rPr>
                <w:rFonts w:hint="default"/>
                <w:lang w:val="en-US" w:eastAsia="zh-CN"/>
              </w:rPr>
            </w:pPr>
          </w:p>
        </w:tc>
      </w:tr>
      <w:tr w14:paraId="46BBD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2055" w:type="dxa"/>
            <w:vAlign w:val="center"/>
          </w:tcPr>
          <w:p w14:paraId="5A9E96A8">
            <w:pPr>
              <w:spacing w:line="276" w:lineRule="auto"/>
              <w:jc w:val="center"/>
              <w:rPr>
                <w:rFonts w:eastAsia="仿宋"/>
                <w:bCs/>
                <w:sz w:val="28"/>
                <w:szCs w:val="24"/>
              </w:rPr>
            </w:pPr>
            <w:r>
              <w:rPr>
                <w:rFonts w:eastAsia="仿宋"/>
                <w:bCs/>
                <w:sz w:val="28"/>
                <w:szCs w:val="24"/>
              </w:rPr>
              <w:t>提名单位</w:t>
            </w:r>
          </w:p>
        </w:tc>
        <w:tc>
          <w:tcPr>
            <w:tcW w:w="6451" w:type="dxa"/>
            <w:vAlign w:val="center"/>
          </w:tcPr>
          <w:p w14:paraId="1106A385">
            <w:pPr>
              <w:spacing w:line="276" w:lineRule="auto"/>
              <w:contextualSpacing/>
              <w:jc w:val="center"/>
              <w:rPr>
                <w:rStyle w:val="9"/>
                <w:rFonts w:eastAsia="仿宋"/>
                <w:b w:val="0"/>
              </w:rPr>
            </w:pPr>
            <w:r>
              <w:rPr>
                <w:rFonts w:hint="eastAsia" w:eastAsia="仿宋"/>
                <w:sz w:val="24"/>
                <w:szCs w:val="24"/>
              </w:rPr>
              <w:t>辽宁工程技术大学</w:t>
            </w:r>
          </w:p>
        </w:tc>
      </w:tr>
      <w:tr w14:paraId="4232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8" w:hRule="atLeast"/>
        </w:trPr>
        <w:tc>
          <w:tcPr>
            <w:tcW w:w="2055" w:type="dxa"/>
            <w:vAlign w:val="center"/>
          </w:tcPr>
          <w:p w14:paraId="2FEBB03F">
            <w:pPr>
              <w:spacing w:line="276" w:lineRule="auto"/>
              <w:jc w:val="center"/>
              <w:rPr>
                <w:rFonts w:eastAsia="仿宋"/>
                <w:bCs/>
                <w:sz w:val="28"/>
                <w:szCs w:val="24"/>
              </w:rPr>
            </w:pPr>
            <w:r>
              <w:rPr>
                <w:rFonts w:eastAsia="仿宋"/>
                <w:bCs/>
                <w:sz w:val="28"/>
                <w:szCs w:val="24"/>
              </w:rPr>
              <w:t>提名意见</w:t>
            </w:r>
          </w:p>
        </w:tc>
        <w:tc>
          <w:tcPr>
            <w:tcW w:w="6451" w:type="dxa"/>
            <w:vAlign w:val="center"/>
          </w:tcPr>
          <w:p w14:paraId="55052A3F">
            <w:pPr>
              <w:spacing w:line="360" w:lineRule="auto"/>
              <w:ind w:firstLine="480" w:firstLineChars="200"/>
              <w:rPr>
                <w:rStyle w:val="9"/>
                <w:rFonts w:eastAsia="仿宋"/>
                <w:b w:val="0"/>
              </w:rPr>
            </w:pPr>
            <w:r>
              <w:rPr>
                <w:rFonts w:hint="eastAsia" w:eastAsia="仿宋"/>
                <w:sz w:val="24"/>
                <w:szCs w:val="24"/>
              </w:rPr>
              <w:t>该项目针对大型露天矿复杂条件边坡稳定性分析与控制、滑坡灾害治理、滑坡灾害监测预警方面的技术瓶颈，聚焦含复杂工程地质条件与特殊结构边坡边坡稳定性分析方法、露天矿边坡稳定性超前精准调控技术、“案例支撑、时序解析、智能预警、平台集成”四位一体的滑坡智能监测分级预警方法体系等三项关键技术开展研究。厘清了断层、弱层、采硐、空区对边坡失稳演化路径与稳定性的影响规律，阐明了复杂条件边坡失稳演化机制，分类提出了含断层与弱层、采硐群、地下采空区的边坡稳定性计算方法，实现了复杂工程地质条件与特殊结构边坡稳定性精准化评价；基于“先预防、早发现、早治理、零滑坡”的灾害防控理念，建立了内排追踪压帮边坡稳定性超前控制技术，首创了爆破振动减损边坡稳定性超前控制技术，创立了滑坡灾害风险区局部超前压帮治理技术，形成了露天矿边坡稳定性超前精准调控技术体系；创建了“案例支撑、时序解析、智能预警、平台集成”四位一体的滑坡智能监测分级预警体系，构建了露天矿滑坡失稳案例库，基于滑坡力学机理分析和案例匹配结果，早期识别了滑坡隐患，明确了滑坡预警阈值，进一步提出了视频智能监测的边坡临滑预警方法。项目成果具有前沿性与实用性，实现了多项技术突破，达到了国际领先水平；成果在国内外 30 余座露天矿山成功应用，创造了极其显著的经济、安全与环境效益，对于推动煤炭行业科技进步具有重要意义。</w:t>
            </w:r>
          </w:p>
        </w:tc>
      </w:tr>
    </w:tbl>
    <w:p w14:paraId="2B305779">
      <w:pPr>
        <w:rPr>
          <w:rFonts w:eastAsia="仿宋"/>
        </w:rPr>
      </w:pPr>
    </w:p>
    <w:p w14:paraId="78987706"/>
    <w:p w14:paraId="0C1B189E"/>
    <w:p w14:paraId="068C2D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E3"/>
    <w:rsid w:val="00766CCD"/>
    <w:rsid w:val="00913CE3"/>
    <w:rsid w:val="00AF14D2"/>
    <w:rsid w:val="00E1160B"/>
    <w:rsid w:val="0313544C"/>
    <w:rsid w:val="04425FE9"/>
    <w:rsid w:val="0E1B0DC2"/>
    <w:rsid w:val="23FE3BEF"/>
    <w:rsid w:val="33641229"/>
    <w:rsid w:val="5E162F9C"/>
    <w:rsid w:val="62B114E5"/>
    <w:rsid w:val="6CC22541"/>
    <w:rsid w:val="7060279C"/>
    <w:rsid w:val="79C51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1099</Words>
  <Characters>1251</Characters>
  <Lines>64</Lines>
  <Paragraphs>51</Paragraphs>
  <TotalTime>4</TotalTime>
  <ScaleCrop>false</ScaleCrop>
  <LinksUpToDate>false</LinksUpToDate>
  <CharactersWithSpaces>1254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2025-09-11T02:33:00Z</dcterms:created>
  <dc:creator>李婧娴</dc:creator>
  <cp:lastModifiedBy>小爽</cp:lastModifiedBy>
  <dcterms:modified xsi:type="dcterms:W3CDTF">2025-12-16T10:55:01Z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BE2C2163CFDB4813B43B087B597E3A01_13</vt:lpwstr>
  </property>
  <property fmtid="{D5CDD505-2E9C-101B-9397-08002B2CF9AE}" pid="4" name="KSOTemplateDocerSaveRecord">
    <vt:lpwstr>eyJoZGlkIjoiOTU3ZGE0YjYzMzQxZThhOWFhOGViNzgxNDdiYzNiM2QiLCJ1c2VySWQiOiIxMjgxNDcwNTk5In0=</vt:lpwstr>
  </property>
</Properties>
</file>