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2E4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一、项目名称</w:t>
      </w:r>
    </w:p>
    <w:p w14:paraId="1D2332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油气生产系统水合物在线监测预警关键技术及应用</w:t>
      </w:r>
    </w:p>
    <w:p w14:paraId="4A2F5A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二、拟提名奖种</w:t>
      </w:r>
    </w:p>
    <w:p w14:paraId="0B9CE0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中国发明协会发明创业奖成果奖</w:t>
      </w:r>
    </w:p>
    <w:p w14:paraId="1EC99E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三、等级</w:t>
      </w:r>
    </w:p>
    <w:p w14:paraId="1D8094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Songti SC Regular" w:cs="Times New Roman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  <w:t>二等奖</w:t>
      </w:r>
    </w:p>
    <w:p w14:paraId="57334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四、完成单位</w:t>
      </w:r>
    </w:p>
    <w:p w14:paraId="6957B7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Songti SC Regular" w:cs="Times New Roman"/>
          <w:szCs w:val="21"/>
        </w:rPr>
        <w:t>常州大学、齐鲁理工学院</w:t>
      </w:r>
    </w:p>
    <w:p w14:paraId="14CC62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五、完成人</w:t>
      </w:r>
    </w:p>
    <w:p w14:paraId="1E14EA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Songti SC Regular" w:cs="Times New Roman"/>
          <w:szCs w:val="21"/>
        </w:rPr>
        <w:t>吕晓方、杜晖、于雅琳、柳扬、乔元明、王传硕</w:t>
      </w:r>
    </w:p>
    <w:p w14:paraId="2CCCA6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六、项目简介</w:t>
      </w:r>
    </w:p>
    <w:p w14:paraId="27304282">
      <w:pPr>
        <w:pStyle w:val="15"/>
        <w:keepNext w:val="0"/>
        <w:keepLines w:val="0"/>
        <w:widowControl/>
        <w:suppressLineNumbers w:val="0"/>
        <w:spacing w:before="100" w:beforeAutospacing="1" w:after="100" w:afterAutospacing="1" w:line="360" w:lineRule="auto"/>
        <w:ind w:left="0" w:right="0" w:firstLine="420" w:firstLineChars="0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  <w:t>油气多相体系管道输送过程中的水合物流动安全问题，是全球油气资源高效开发面临的重大挑战之一。建立经济、合理、安全的水合物风险防控与监测预警技术体系，对于保障我国陆地与海洋油气资源安全开发、支撑油气管道高效稳定运行，具有重要战略意义。本项目在国家自然科学基金、国家科技重大专项和省部级项目支持下，历经五年，围绕油气多相体系中水合物“生成—分解—流动—堵塞”全过程的关键科学与工程问题，开展系统研究，形成了多项技术突破，构建了理论—技术—装置—应用一体化的集成创新体系，取得了以下三方面主要科技成果：</w:t>
      </w:r>
    </w:p>
    <w:p w14:paraId="21088F98">
      <w:pPr>
        <w:pStyle w:val="15"/>
        <w:keepNext w:val="0"/>
        <w:keepLines w:val="0"/>
        <w:widowControl/>
        <w:numPr>
          <w:ilvl w:val="0"/>
          <w:numId w:val="1"/>
        </w:numPr>
        <w:suppressLineNumbers w:val="0"/>
        <w:spacing w:before="100" w:beforeAutospacing="1" w:after="100" w:afterAutospacing="1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/>
        </w:rPr>
        <w:t>针对油气多相体系水合物生成-分解完整周期内的动态预警与监测的世界性难题，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  <w:t>本项目提出适用于多相混输条件的水合物诱导期判识方法，构建耦合颗粒形貌与界面演化动力学模型，开发了融合数据驱动与机理驱动的人工智能预测系统，实现了水合物动态生成过程的超前预警。</w:t>
      </w:r>
    </w:p>
    <w:p w14:paraId="55FCCBC0">
      <w:pPr>
        <w:pStyle w:val="15"/>
        <w:keepNext w:val="0"/>
        <w:keepLines w:val="0"/>
        <w:widowControl/>
        <w:numPr>
          <w:ilvl w:val="0"/>
          <w:numId w:val="0"/>
        </w:numPr>
        <w:suppressLineNumbers w:val="0"/>
        <w:spacing w:before="100" w:beforeAutospacing="1" w:after="100" w:afterAutospacing="1" w:line="360" w:lineRule="auto"/>
        <w:ind w:leftChars="0" w:right="0" w:rightChars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  <w:t>★关键技术指标：</w:t>
      </w:r>
    </w:p>
    <w:p w14:paraId="454F93B8">
      <w:pPr>
        <w:pStyle w:val="15"/>
        <w:keepNext w:val="0"/>
        <w:keepLines w:val="0"/>
        <w:widowControl/>
        <w:numPr>
          <w:ilvl w:val="0"/>
          <w:numId w:val="2"/>
        </w:numPr>
        <w:suppressLineNumbers w:val="0"/>
        <w:spacing w:before="100" w:beforeAutospacing="1" w:after="100" w:afterAutospacing="1" w:line="360" w:lineRule="auto"/>
        <w:ind w:left="840" w:leftChars="0" w:right="0" w:rightChars="0" w:hanging="420" w:firstLineChars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  <w:t>诱导期判识准确率≥95%；</w:t>
      </w:r>
    </w:p>
    <w:p w14:paraId="0A8ACD57">
      <w:pPr>
        <w:pStyle w:val="15"/>
        <w:keepNext w:val="0"/>
        <w:keepLines w:val="0"/>
        <w:widowControl/>
        <w:numPr>
          <w:ilvl w:val="0"/>
          <w:numId w:val="2"/>
        </w:numPr>
        <w:suppressLineNumbers w:val="0"/>
        <w:spacing w:before="100" w:beforeAutospacing="1" w:after="100" w:afterAutospacing="1" w:line="360" w:lineRule="auto"/>
        <w:ind w:left="840" w:leftChars="0" w:right="0" w:rightChars="0" w:hanging="420" w:firstLineChars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  <w:t>监测预警系统准确率≥98%，可实现超前10–30分钟预警；</w:t>
      </w:r>
    </w:p>
    <w:p w14:paraId="7B254594">
      <w:pPr>
        <w:pStyle w:val="15"/>
        <w:keepNext w:val="0"/>
        <w:keepLines w:val="0"/>
        <w:widowControl/>
        <w:numPr>
          <w:ilvl w:val="0"/>
          <w:numId w:val="2"/>
        </w:numPr>
        <w:suppressLineNumbers w:val="0"/>
        <w:spacing w:before="100" w:beforeAutospacing="1" w:after="100" w:afterAutospacing="1" w:line="360" w:lineRule="auto"/>
        <w:ind w:left="840" w:leftChars="0" w:right="0" w:rightChars="0" w:hanging="420" w:firstLineChars="0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  <w:t>适用于温度273–295 K、压力5–30 MPa等复杂工况。</w:t>
      </w:r>
    </w:p>
    <w:p w14:paraId="2EF71B4C">
      <w:pPr>
        <w:pStyle w:val="1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left="0" w:leftChars="0" w:right="0" w:firstLine="0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/>
        </w:rPr>
        <w:t>针对油气多相体系管道水合物流动风险量化难、机理不清楚的问题，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  <w:t>项目自主研制了显微力学测试装置，首次定量获得多相体系中水合物颗粒的黏聚力与黏附力，揭示其生长形貌及液桥演化机理；建立考虑粒径分布、多相作用及剪切破碎行为的浆体黏度预测模型，明确湍流动能、颗粒浓度等因素对流动特性的影响规律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  <w:t>★关键技术指标：</w:t>
      </w:r>
    </w:p>
    <w:p w14:paraId="399E2F44">
      <w:pPr>
        <w:pStyle w:val="15"/>
        <w:keepNext w:val="0"/>
        <w:keepLines w:val="0"/>
        <w:widowControl/>
        <w:numPr>
          <w:ilvl w:val="0"/>
          <w:numId w:val="3"/>
        </w:numPr>
        <w:suppressLineNumbers w:val="0"/>
        <w:spacing w:before="100" w:beforeAutospacing="1" w:after="100" w:afterAutospacing="1" w:line="360" w:lineRule="auto"/>
        <w:ind w:left="840" w:leftChars="0" w:right="0" w:rightChars="0" w:hanging="420" w:firstLineChars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  <w:t>浆体黏度预测误差≤±10%；</w:t>
      </w:r>
    </w:p>
    <w:p w14:paraId="55EAA225">
      <w:pPr>
        <w:pStyle w:val="15"/>
        <w:keepNext w:val="0"/>
        <w:keepLines w:val="0"/>
        <w:widowControl/>
        <w:numPr>
          <w:ilvl w:val="0"/>
          <w:numId w:val="3"/>
        </w:numPr>
        <w:suppressLineNumbers w:val="0"/>
        <w:spacing w:before="100" w:beforeAutospacing="1" w:after="100" w:afterAutospacing="1" w:line="360" w:lineRule="auto"/>
        <w:ind w:left="840" w:leftChars="0" w:right="0" w:righ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  <w:t>沿程摩阻损失预测精度≥92%；</w:t>
      </w:r>
    </w:p>
    <w:p w14:paraId="61C5335E">
      <w:pPr>
        <w:pStyle w:val="15"/>
        <w:keepNext w:val="0"/>
        <w:keepLines w:val="0"/>
        <w:widowControl/>
        <w:numPr>
          <w:ilvl w:val="0"/>
          <w:numId w:val="3"/>
        </w:numPr>
        <w:suppressLineNumbers w:val="0"/>
        <w:spacing w:before="100" w:beforeAutospacing="1" w:after="100" w:afterAutospacing="1" w:line="360" w:lineRule="auto"/>
        <w:ind w:left="840" w:leftChars="0" w:right="0" w:hanging="420" w:firstLineChars="0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  <w:t>注剂用量优化效率提升≥30%，年均节约成本超1000万元。</w:t>
      </w:r>
    </w:p>
    <w:p w14:paraId="43FF381A">
      <w:pPr>
        <w:pStyle w:val="15"/>
        <w:keepNext w:val="0"/>
        <w:keepLines w:val="0"/>
        <w:widowControl/>
        <w:numPr>
          <w:ilvl w:val="0"/>
          <w:numId w:val="1"/>
        </w:numPr>
        <w:suppressLineNumbers w:val="0"/>
        <w:spacing w:before="100" w:beforeAutospacing="1" w:after="100" w:afterAutospacing="1" w:line="360" w:lineRule="auto"/>
        <w:ind w:left="0" w:leftChars="0" w:right="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针对油气多相体系水合物固相沉积堵塞位置难确定、堵塞事故难处理的问题，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  <w:t>查明了多相体系中颗粒与管壁黏附-沉积机理，建立堵塞类型识别模型及风险量化指标，提出分区分型调控策略。研制具备温控、电热、化学与扰动多功能的水合物解堵装置，显著提升堵塞应急处置能力。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  <w:t>★关键技术指标：</w:t>
      </w:r>
    </w:p>
    <w:p w14:paraId="0E6420FE">
      <w:pPr>
        <w:pStyle w:val="15"/>
        <w:keepNext w:val="0"/>
        <w:keepLines w:val="0"/>
        <w:widowControl/>
        <w:numPr>
          <w:ilvl w:val="0"/>
          <w:numId w:val="4"/>
        </w:numPr>
        <w:suppressLineNumbers w:val="0"/>
        <w:spacing w:before="100" w:beforeAutospacing="1" w:after="100" w:afterAutospacing="1" w:line="360" w:lineRule="auto"/>
        <w:ind w:left="840" w:leftChars="0" w:right="0" w:rightChars="0" w:hanging="420" w:firstLineChars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  <w:t>风险识别准确率≥97%，堵塞位置误差&lt;1.0 m；</w:t>
      </w:r>
    </w:p>
    <w:p w14:paraId="6B773901">
      <w:pPr>
        <w:pStyle w:val="15"/>
        <w:keepNext w:val="0"/>
        <w:keepLines w:val="0"/>
        <w:widowControl/>
        <w:numPr>
          <w:ilvl w:val="0"/>
          <w:numId w:val="4"/>
        </w:numPr>
        <w:suppressLineNumbers w:val="0"/>
        <w:spacing w:before="100" w:beforeAutospacing="1" w:after="100" w:afterAutospacing="1" w:line="360" w:lineRule="auto"/>
        <w:ind w:left="840" w:leftChars="0" w:right="0" w:rightChars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  <w:t>解堵效率提升1倍以上，平均处理时间缩短50%；</w:t>
      </w:r>
    </w:p>
    <w:p w14:paraId="2A848368">
      <w:pPr>
        <w:pStyle w:val="15"/>
        <w:keepNext w:val="0"/>
        <w:keepLines w:val="0"/>
        <w:widowControl/>
        <w:numPr>
          <w:ilvl w:val="0"/>
          <w:numId w:val="4"/>
        </w:numPr>
        <w:suppressLineNumbers w:val="0"/>
        <w:spacing w:before="100" w:beforeAutospacing="1" w:after="100" w:afterAutospacing="1" w:line="360" w:lineRule="auto"/>
        <w:ind w:left="840" w:leftChars="0" w:right="0" w:hanging="42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u w:val="none"/>
        </w:rPr>
        <w:t>系统适用于5–25 MPa、0–25 °C复杂运行环境。</w:t>
      </w:r>
    </w:p>
    <w:p w14:paraId="6933B1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项目整体呈现“理论—技术—装置—应用”的集成创新路径，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经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中国石油和化学工业联合会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  <w:t>中国石化科技部</w:t>
      </w:r>
      <w:r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  <w:t>中国石油和化工自动化应用协会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鉴定，整体技术水平达到国际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领先和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先进。成果共申请发明专利27项，授权15项，出版专著2部，发表高水平论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文48篇（含SCI论文33篇）。相关技术已在我国海上、西南、西北等多个油气田成功应用，近三年累计降本增效2.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91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亿元，显著提升了我国油气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管道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的本质安全水平与经济运行能力，具有广阔的推广前景和重要的社会经济价值。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450CFC-5820-49BE-BADA-67EFB10DA7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DF8B7E6-6204-40F1-BE0A-F4987FA5CD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  <w:embedRegular r:id="rId3" w:fontKey="{D52A124D-8F94-4BF1-B174-1D302FA48AAB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B5D184"/>
    <w:multiLevelType w:val="singleLevel"/>
    <w:tmpl w:val="BEB5D184"/>
    <w:lvl w:ilvl="0" w:tentative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</w:abstractNum>
  <w:abstractNum w:abstractNumId="1">
    <w:nsid w:val="BF7FD970"/>
    <w:multiLevelType w:val="singleLevel"/>
    <w:tmpl w:val="BF7FD970"/>
    <w:lvl w:ilvl="0" w:tentative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</w:abstractNum>
  <w:abstractNum w:abstractNumId="2">
    <w:nsid w:val="FB7EF86F"/>
    <w:multiLevelType w:val="singleLevel"/>
    <w:tmpl w:val="FB7EF86F"/>
    <w:lvl w:ilvl="0" w:tentative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</w:abstractNum>
  <w:abstractNum w:abstractNumId="3">
    <w:nsid w:val="6DFBD17E"/>
    <w:multiLevelType w:val="singleLevel"/>
    <w:tmpl w:val="6DFBD17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E9"/>
    <w:rsid w:val="0011362E"/>
    <w:rsid w:val="002001E9"/>
    <w:rsid w:val="00224A3A"/>
    <w:rsid w:val="002644CB"/>
    <w:rsid w:val="002757A1"/>
    <w:rsid w:val="002D4E04"/>
    <w:rsid w:val="004044C5"/>
    <w:rsid w:val="004C3499"/>
    <w:rsid w:val="00583DFF"/>
    <w:rsid w:val="00597FDE"/>
    <w:rsid w:val="00601467"/>
    <w:rsid w:val="0060799F"/>
    <w:rsid w:val="007932E6"/>
    <w:rsid w:val="00832A08"/>
    <w:rsid w:val="009209DC"/>
    <w:rsid w:val="009341AF"/>
    <w:rsid w:val="009C3E2D"/>
    <w:rsid w:val="00A640AF"/>
    <w:rsid w:val="00C43EF7"/>
    <w:rsid w:val="00C666D8"/>
    <w:rsid w:val="00C80613"/>
    <w:rsid w:val="00DE74AC"/>
    <w:rsid w:val="00E75CAB"/>
    <w:rsid w:val="00FF48B3"/>
    <w:rsid w:val="0CAD145B"/>
    <w:rsid w:val="0D0F1BE1"/>
    <w:rsid w:val="142F5E1B"/>
    <w:rsid w:val="5E1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CA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37"/>
    <w:qFormat/>
    <w:uiPriority w:val="0"/>
    <w:pPr>
      <w:spacing w:after="0" w:line="360" w:lineRule="auto"/>
      <w:ind w:firstLine="480" w:firstLineChars="200"/>
    </w:pPr>
    <w:rPr>
      <w:rFonts w:ascii="FangSong_GB2312" w:cs="Times New Roman" w:hAnsiTheme="minorEastAsia"/>
      <w:kern w:val="0"/>
      <w:lang w:val="en-US"/>
      <w14:ligatures w14:val="none"/>
    </w:r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basedOn w:val="1"/>
    <w:next w:val="1"/>
    <w:link w:val="28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Heading 1 Char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Heading 2 Char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Heading 3 Char"/>
    <w:basedOn w:val="18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2">
    <w:name w:val="Heading 4 Char"/>
    <w:basedOn w:val="18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3">
    <w:name w:val="Heading 5 Char"/>
    <w:basedOn w:val="18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4">
    <w:name w:val="Heading 6 Char"/>
    <w:basedOn w:val="18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7 Char"/>
    <w:basedOn w:val="18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Heading 8 Char"/>
    <w:basedOn w:val="18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Heading 9 Char"/>
    <w:basedOn w:val="18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Title Char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Subtitle Char"/>
    <w:basedOn w:val="18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Quote Char"/>
    <w:basedOn w:val="18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Intense Quote Char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Plain Text Char"/>
    <w:basedOn w:val="18"/>
    <w:link w:val="11"/>
    <w:uiPriority w:val="0"/>
    <w:rPr>
      <w:rFonts w:ascii="FangSong_GB2312" w:cs="Times New Roman" w:hAnsiTheme="minorEastAsia"/>
      <w:kern w:val="0"/>
      <w:lang w:val="en-US"/>
      <w14:ligatures w14:val="none"/>
    </w:rPr>
  </w:style>
  <w:style w:type="character" w:customStyle="1" w:styleId="38">
    <w:name w:val="Header Char"/>
    <w:basedOn w:val="18"/>
    <w:link w:val="13"/>
    <w:uiPriority w:val="99"/>
    <w:rPr>
      <w:sz w:val="18"/>
      <w:szCs w:val="18"/>
    </w:rPr>
  </w:style>
  <w:style w:type="character" w:customStyle="1" w:styleId="39">
    <w:name w:val="Footer Char"/>
    <w:basedOn w:val="18"/>
    <w:link w:val="1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</Words>
  <Characters>34</Characters>
  <Lines>8</Lines>
  <Paragraphs>2</Paragraphs>
  <TotalTime>1</TotalTime>
  <ScaleCrop>false</ScaleCrop>
  <LinksUpToDate>false</LinksUpToDate>
  <CharactersWithSpaces>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2025-04-21T06:51:00Z</dcterms:created>
  <dc:creator>Jing Zhao</dc:creator>
  <cp:lastModifiedBy>86155</cp:lastModifiedBy>
  <dcterms:modified xsi:type="dcterms:W3CDTF">2025-05-13T05:25:57Z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eyJoZGlkIjoiZmY1NDFiNTYyN2JkZDU3NGNlM2RhYjllMzFjMDViNTciLCJ1c2VySWQiOiIyNTY1ODEzMTMifQ==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6A10CCF5ECA9408F871CEEA7B1E12F8F_13</vt:lpwstr>
  </property>
</Properties>
</file>