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22D9" w14:textId="77777777" w:rsidR="00DC7DC6" w:rsidRDefault="002E4C5F">
      <w:pPr>
        <w:spacing w:after="0" w:line="560" w:lineRule="exact"/>
        <w:ind w:firstLineChars="200" w:firstLine="640"/>
        <w:rPr>
          <w:rFonts w:ascii="黑体" w:eastAsia="黑体" w:hAnsi="黑体" w:cs="黑体"/>
          <w:sz w:val="32"/>
          <w:szCs w:val="32"/>
        </w:rPr>
      </w:pPr>
      <w:r>
        <w:rPr>
          <w:rFonts w:ascii="黑体" w:eastAsia="黑体" w:hAnsi="黑体" w:cs="黑体" w:hint="eastAsia"/>
          <w:sz w:val="32"/>
          <w:szCs w:val="32"/>
        </w:rPr>
        <w:t>一、项目名称</w:t>
      </w:r>
    </w:p>
    <w:p w14:paraId="0C96A917" w14:textId="3DC36DFB" w:rsidR="00DC7DC6" w:rsidRDefault="00702D76" w:rsidP="00702D76">
      <w:pPr>
        <w:spacing w:after="0" w:line="560" w:lineRule="exact"/>
        <w:rPr>
          <w:rFonts w:ascii="方正仿宋_GB2312" w:eastAsia="方正仿宋_GB2312" w:hAnsi="方正仿宋_GB2312" w:cs="方正仿宋_GB2312"/>
          <w:sz w:val="32"/>
          <w:szCs w:val="32"/>
        </w:rPr>
      </w:pPr>
      <w:r w:rsidRPr="00702D76">
        <w:rPr>
          <w:rFonts w:ascii="宋体" w:eastAsia="宋体" w:hAnsi="宋体" w:cs="宋体" w:hint="eastAsia"/>
          <w:sz w:val="32"/>
          <w:szCs w:val="32"/>
        </w:rPr>
        <w:t>露天矿山爆破震动诱发边坡灾害的多</w:t>
      </w:r>
      <w:proofErr w:type="gramStart"/>
      <w:r w:rsidRPr="00702D76">
        <w:rPr>
          <w:rFonts w:ascii="宋体" w:eastAsia="宋体" w:hAnsi="宋体" w:cs="宋体" w:hint="eastAsia"/>
          <w:sz w:val="32"/>
          <w:szCs w:val="32"/>
        </w:rPr>
        <w:t>源数据</w:t>
      </w:r>
      <w:proofErr w:type="gramEnd"/>
      <w:r w:rsidRPr="00702D76">
        <w:rPr>
          <w:rFonts w:ascii="宋体" w:eastAsia="宋体" w:hAnsi="宋体" w:cs="宋体" w:hint="eastAsia"/>
          <w:sz w:val="32"/>
          <w:szCs w:val="32"/>
        </w:rPr>
        <w:t>融合预警与防控技术</w:t>
      </w:r>
    </w:p>
    <w:p w14:paraId="0AE18B0F" w14:textId="77777777" w:rsidR="00DC7DC6" w:rsidRDefault="002E4C5F">
      <w:pPr>
        <w:spacing w:after="0" w:line="560" w:lineRule="exact"/>
        <w:ind w:firstLineChars="200" w:firstLine="640"/>
        <w:rPr>
          <w:rFonts w:ascii="黑体" w:eastAsia="黑体" w:hAnsi="黑体" w:cs="黑体"/>
          <w:sz w:val="32"/>
          <w:szCs w:val="32"/>
        </w:rPr>
      </w:pPr>
      <w:r>
        <w:rPr>
          <w:rFonts w:ascii="黑体" w:eastAsia="黑体" w:hAnsi="黑体" w:cs="黑体" w:hint="eastAsia"/>
          <w:sz w:val="32"/>
          <w:szCs w:val="32"/>
        </w:rPr>
        <w:t>二、拟提名奖种</w:t>
      </w:r>
    </w:p>
    <w:p w14:paraId="09A07EAB" w14:textId="1873AE82" w:rsidR="00DC7DC6" w:rsidRPr="006D32C6" w:rsidRDefault="006D32C6">
      <w:pPr>
        <w:spacing w:after="0" w:line="560" w:lineRule="exact"/>
        <w:ind w:firstLineChars="200" w:firstLine="640"/>
        <w:rPr>
          <w:rFonts w:ascii="宋体" w:eastAsia="宋体" w:hAnsi="宋体" w:cs="宋体"/>
          <w:sz w:val="32"/>
          <w:szCs w:val="32"/>
        </w:rPr>
      </w:pPr>
      <w:r w:rsidRPr="006D32C6">
        <w:rPr>
          <w:rFonts w:ascii="宋体" w:eastAsia="宋体" w:hAnsi="宋体" w:cs="宋体" w:hint="eastAsia"/>
          <w:sz w:val="32"/>
          <w:szCs w:val="32"/>
        </w:rPr>
        <w:t>成果奖</w:t>
      </w:r>
    </w:p>
    <w:p w14:paraId="6D280CC8" w14:textId="77777777" w:rsidR="00DC7DC6" w:rsidRDefault="002E4C5F">
      <w:pPr>
        <w:spacing w:after="0" w:line="560" w:lineRule="exact"/>
        <w:ind w:firstLineChars="200" w:firstLine="640"/>
        <w:rPr>
          <w:rFonts w:ascii="黑体" w:eastAsia="黑体" w:hAnsi="黑体" w:cs="黑体"/>
          <w:sz w:val="32"/>
          <w:szCs w:val="32"/>
        </w:rPr>
      </w:pPr>
      <w:r>
        <w:rPr>
          <w:rFonts w:ascii="黑体" w:eastAsia="黑体" w:hAnsi="黑体" w:cs="黑体" w:hint="eastAsia"/>
          <w:sz w:val="32"/>
          <w:szCs w:val="32"/>
        </w:rPr>
        <w:t>三、等级</w:t>
      </w:r>
    </w:p>
    <w:p w14:paraId="347F4A5F" w14:textId="0D5F083C" w:rsidR="00DC7DC6" w:rsidRDefault="00702D76">
      <w:pPr>
        <w:spacing w:after="0" w:line="560" w:lineRule="exact"/>
        <w:ind w:firstLineChars="200" w:firstLine="640"/>
        <w:rPr>
          <w:rFonts w:ascii="方正仿宋_GB2312" w:eastAsia="方正仿宋_GB2312" w:hAnsi="方正仿宋_GB2312" w:cs="方正仿宋_GB2312"/>
          <w:sz w:val="32"/>
          <w:szCs w:val="32"/>
        </w:rPr>
      </w:pPr>
      <w:r>
        <w:rPr>
          <w:rFonts w:ascii="宋体" w:eastAsia="宋体" w:hAnsi="宋体" w:cs="宋体" w:hint="eastAsia"/>
          <w:sz w:val="32"/>
          <w:szCs w:val="32"/>
        </w:rPr>
        <w:t>一等</w:t>
      </w:r>
    </w:p>
    <w:p w14:paraId="1254DFC7" w14:textId="77777777" w:rsidR="00DC7DC6" w:rsidRDefault="002E4C5F">
      <w:pPr>
        <w:spacing w:after="0" w:line="560" w:lineRule="exact"/>
        <w:ind w:firstLineChars="200" w:firstLine="640"/>
        <w:rPr>
          <w:rFonts w:ascii="黑体" w:eastAsia="黑体" w:hAnsi="黑体" w:cs="黑体"/>
          <w:sz w:val="32"/>
          <w:szCs w:val="32"/>
        </w:rPr>
      </w:pPr>
      <w:r>
        <w:rPr>
          <w:rFonts w:ascii="黑体" w:eastAsia="黑体" w:hAnsi="黑体" w:cs="黑体" w:hint="eastAsia"/>
          <w:sz w:val="32"/>
          <w:szCs w:val="32"/>
        </w:rPr>
        <w:t>四、完成单位</w:t>
      </w:r>
    </w:p>
    <w:p w14:paraId="5D1990C9" w14:textId="2CCB4F39" w:rsidR="00DC7DC6" w:rsidRDefault="00702D76">
      <w:pPr>
        <w:spacing w:after="0" w:line="560" w:lineRule="exact"/>
        <w:ind w:firstLineChars="200" w:firstLine="640"/>
        <w:rPr>
          <w:rFonts w:ascii="方正仿宋_GB2312" w:eastAsia="方正仿宋_GB2312" w:hAnsi="方正仿宋_GB2312" w:cs="方正仿宋_GB2312"/>
          <w:sz w:val="32"/>
          <w:szCs w:val="32"/>
        </w:rPr>
      </w:pPr>
      <w:r w:rsidRPr="00702D76">
        <w:rPr>
          <w:rFonts w:ascii="宋体" w:eastAsia="宋体" w:hAnsi="宋体" w:cs="宋体" w:hint="eastAsia"/>
          <w:sz w:val="32"/>
          <w:szCs w:val="32"/>
        </w:rPr>
        <w:t>常州大学、中国矿业大学、武汉理工大学、江西理工大学</w:t>
      </w:r>
    </w:p>
    <w:p w14:paraId="38D45167" w14:textId="77777777" w:rsidR="00DC7DC6" w:rsidRDefault="002E4C5F">
      <w:pPr>
        <w:spacing w:after="0" w:line="560" w:lineRule="exact"/>
        <w:ind w:firstLineChars="200" w:firstLine="640"/>
        <w:rPr>
          <w:rFonts w:ascii="黑体" w:eastAsia="黑体" w:hAnsi="黑体" w:cs="黑体"/>
          <w:sz w:val="32"/>
          <w:szCs w:val="32"/>
        </w:rPr>
      </w:pPr>
      <w:r>
        <w:rPr>
          <w:rFonts w:ascii="黑体" w:eastAsia="黑体" w:hAnsi="黑体" w:cs="黑体" w:hint="eastAsia"/>
          <w:sz w:val="32"/>
          <w:szCs w:val="32"/>
        </w:rPr>
        <w:t>五、完成人</w:t>
      </w:r>
    </w:p>
    <w:p w14:paraId="4443A2DA" w14:textId="435017E5" w:rsidR="00DC7DC6" w:rsidRDefault="00702D76">
      <w:pPr>
        <w:spacing w:after="0" w:line="560" w:lineRule="exact"/>
        <w:ind w:firstLineChars="200" w:firstLine="640"/>
        <w:rPr>
          <w:rFonts w:ascii="方正仿宋_GB2312" w:eastAsia="方正仿宋_GB2312" w:hAnsi="方正仿宋_GB2312" w:cs="方正仿宋_GB2312"/>
          <w:sz w:val="32"/>
          <w:szCs w:val="32"/>
        </w:rPr>
      </w:pPr>
      <w:r w:rsidRPr="00702D76">
        <w:rPr>
          <w:rFonts w:ascii="宋体" w:eastAsia="宋体" w:hAnsi="宋体" w:cs="宋体" w:hint="eastAsia"/>
          <w:sz w:val="32"/>
          <w:szCs w:val="32"/>
        </w:rPr>
        <w:t>丁小华、蒋宏伟、张春阳、耿加波、刘健鹏、吕婷婷</w:t>
      </w:r>
    </w:p>
    <w:p w14:paraId="71CB5524" w14:textId="77777777" w:rsidR="00DC7DC6" w:rsidRDefault="002E4C5F">
      <w:pPr>
        <w:spacing w:after="0" w:line="560" w:lineRule="exact"/>
        <w:ind w:firstLineChars="200" w:firstLine="640"/>
        <w:rPr>
          <w:rFonts w:ascii="黑体" w:eastAsia="黑体" w:hAnsi="黑体" w:cs="黑体"/>
          <w:sz w:val="32"/>
          <w:szCs w:val="32"/>
        </w:rPr>
      </w:pPr>
      <w:r>
        <w:rPr>
          <w:rFonts w:ascii="黑体" w:eastAsia="黑体" w:hAnsi="黑体" w:cs="黑体" w:hint="eastAsia"/>
          <w:sz w:val="32"/>
          <w:szCs w:val="32"/>
        </w:rPr>
        <w:t>六、项目简介</w:t>
      </w:r>
    </w:p>
    <w:p w14:paraId="0FD02B19" w14:textId="77777777" w:rsidR="00702D76" w:rsidRPr="00702D76" w:rsidRDefault="00702D76" w:rsidP="00702D76">
      <w:pPr>
        <w:spacing w:after="0" w:line="560" w:lineRule="exact"/>
        <w:ind w:firstLineChars="200" w:firstLine="640"/>
        <w:rPr>
          <w:rFonts w:ascii="方正仿宋_GB2312" w:eastAsia="方正仿宋_GB2312" w:hAnsi="方正仿宋_GB2312" w:cs="方正仿宋_GB2312"/>
          <w:sz w:val="32"/>
          <w:szCs w:val="32"/>
        </w:rPr>
      </w:pPr>
      <w:r w:rsidRPr="00702D76">
        <w:rPr>
          <w:rFonts w:ascii="宋体" w:eastAsia="宋体" w:hAnsi="宋体" w:cs="宋体" w:hint="eastAsia"/>
          <w:sz w:val="32"/>
          <w:szCs w:val="32"/>
        </w:rPr>
        <w:t>该项目属于矿业工程与岩土工程交叉领域。在“十四五”规划发展与安全战略下，我国矿产资源开发持续向深部、高陡化、规模化发展。然而，露天矿山深部高陡</w:t>
      </w:r>
      <w:proofErr w:type="gramStart"/>
      <w:r w:rsidRPr="00702D76">
        <w:rPr>
          <w:rFonts w:ascii="宋体" w:eastAsia="宋体" w:hAnsi="宋体" w:cs="宋体" w:hint="eastAsia"/>
          <w:sz w:val="32"/>
          <w:szCs w:val="32"/>
        </w:rPr>
        <w:t>边坡占</w:t>
      </w:r>
      <w:proofErr w:type="gramEnd"/>
      <w:r w:rsidRPr="00702D76">
        <w:rPr>
          <w:rFonts w:ascii="宋体" w:eastAsia="宋体" w:hAnsi="宋体" w:cs="宋体" w:hint="eastAsia"/>
          <w:sz w:val="32"/>
          <w:szCs w:val="32"/>
        </w:rPr>
        <w:t>比大幅提升，爆破开挖高频扰动引发岩体累积动力损伤、裂隙扩展与结构劣化，诱发滑坡、崩塌等重特大灾害风险突出。亟需创新攻克瓶颈，赋能矿山安全低碳高效开采，以支撑国家资源保障、安全生产与生态文明建设。在国家重点研发计划、深地国家科技重大专项、国家自然科学基金等</w:t>
      </w:r>
      <w:r w:rsidRPr="00702D76">
        <w:rPr>
          <w:rFonts w:ascii="方正仿宋_GB2312" w:eastAsia="方正仿宋_GB2312" w:hAnsi="方正仿宋_GB2312" w:cs="方正仿宋_GB2312" w:hint="eastAsia"/>
          <w:sz w:val="32"/>
          <w:szCs w:val="32"/>
        </w:rPr>
        <w:t>10</w:t>
      </w:r>
      <w:r w:rsidRPr="00702D76">
        <w:rPr>
          <w:rFonts w:ascii="宋体" w:eastAsia="宋体" w:hAnsi="宋体" w:cs="宋体" w:hint="eastAsia"/>
          <w:sz w:val="32"/>
          <w:szCs w:val="32"/>
        </w:rPr>
        <w:t>余项国家级项目的持续资助下，项目团队紧扣国家矿产资源安全开发、矿山安全生产保障及生态环境保护的重大需求，从岩体响应机理揭示、爆破参数智能优化、边坡灾害智能预警三大核心技术链条系统攻关，历经十年产学研联合攻关与自主创新，形成了具有完全自主知识产权的成套技术体系，实现了爆破扰动下边坡动力响</w:t>
      </w:r>
      <w:r w:rsidRPr="00702D76">
        <w:rPr>
          <w:rFonts w:ascii="宋体" w:eastAsia="宋体" w:hAnsi="宋体" w:cs="宋体" w:hint="eastAsia"/>
          <w:sz w:val="32"/>
          <w:szCs w:val="32"/>
        </w:rPr>
        <w:lastRenderedPageBreak/>
        <w:t>应机理量化、爆破参数原位精准调控、多源数据驱动智能预警三大核心技术突破，主要创新点如下：</w:t>
      </w:r>
    </w:p>
    <w:p w14:paraId="401213E2" w14:textId="77777777" w:rsidR="00702D76" w:rsidRPr="00702D76" w:rsidRDefault="00702D76" w:rsidP="00702D76">
      <w:pPr>
        <w:spacing w:after="0" w:line="560" w:lineRule="exact"/>
        <w:ind w:firstLineChars="200" w:firstLine="640"/>
        <w:rPr>
          <w:rFonts w:ascii="方正仿宋_GB2312" w:eastAsia="方正仿宋_GB2312" w:hAnsi="方正仿宋_GB2312" w:cs="方正仿宋_GB2312"/>
          <w:sz w:val="32"/>
          <w:szCs w:val="32"/>
        </w:rPr>
      </w:pPr>
      <w:r w:rsidRPr="00702D76">
        <w:rPr>
          <w:rFonts w:ascii="宋体" w:eastAsia="宋体" w:hAnsi="宋体" w:cs="宋体" w:hint="eastAsia"/>
          <w:sz w:val="32"/>
          <w:szCs w:val="32"/>
        </w:rPr>
        <w:t>（一）爆破扰动下边坡岩体动力响应与孔内介质优化成套技术：针对爆破扰动条件下边坡岩体动力响应机理不清等关键问题，发明了爆破冲击载荷模拟试验系统，提出了孔内介质优化成套技术，创新了炮孔装药封堵协同优化方法，解决了爆破冲击载荷规律复杂、岩体响应难识别等问题，实现了爆破裂纹扩展定量识别，有效降低爆破冲孔风险、显著提升炸药能量利用率，达到国际先进水平。</w:t>
      </w:r>
    </w:p>
    <w:p w14:paraId="1091889D" w14:textId="77777777" w:rsidR="00702D76" w:rsidRPr="00702D76" w:rsidRDefault="00702D76" w:rsidP="00702D76">
      <w:pPr>
        <w:spacing w:after="0" w:line="560" w:lineRule="exact"/>
        <w:ind w:firstLineChars="200" w:firstLine="640"/>
        <w:rPr>
          <w:rFonts w:ascii="方正仿宋_GB2312" w:eastAsia="方正仿宋_GB2312" w:hAnsi="方正仿宋_GB2312" w:cs="方正仿宋_GB2312"/>
          <w:sz w:val="32"/>
          <w:szCs w:val="32"/>
        </w:rPr>
      </w:pPr>
      <w:r w:rsidRPr="00702D76">
        <w:rPr>
          <w:rFonts w:ascii="宋体" w:eastAsia="宋体" w:hAnsi="宋体" w:cs="宋体" w:hint="eastAsia"/>
          <w:sz w:val="32"/>
          <w:szCs w:val="32"/>
        </w:rPr>
        <w:t>（二）露天矿爆破扰动下边坡现场响应与原位调控关键技术：针对多源监测数据分散，缺乏有效融合分析方法等问题，创建了含水介质爆破现场试验体系，发明了边坡现场响应与原位调控技术，解决了爆破震动规律复杂、参数难以精准控制的问题，实现了爆破参数智能调控，水介质爆破的能量传递峰值可达空气介质的</w:t>
      </w:r>
      <w:r w:rsidRPr="00702D76">
        <w:rPr>
          <w:rFonts w:ascii="方正仿宋_GB2312" w:eastAsia="方正仿宋_GB2312" w:hAnsi="方正仿宋_GB2312" w:cs="方正仿宋_GB2312" w:hint="eastAsia"/>
          <w:sz w:val="32"/>
          <w:szCs w:val="32"/>
        </w:rPr>
        <w:t xml:space="preserve"> 2.73 </w:t>
      </w:r>
      <w:proofErr w:type="gramStart"/>
      <w:r w:rsidRPr="00702D76">
        <w:rPr>
          <w:rFonts w:ascii="宋体" w:eastAsia="宋体" w:hAnsi="宋体" w:cs="宋体" w:hint="eastAsia"/>
          <w:sz w:val="32"/>
          <w:szCs w:val="32"/>
        </w:rPr>
        <w:t>倍</w:t>
      </w:r>
      <w:proofErr w:type="gramEnd"/>
      <w:r w:rsidRPr="00702D76">
        <w:rPr>
          <w:rFonts w:ascii="宋体" w:eastAsia="宋体" w:hAnsi="宋体" w:cs="宋体" w:hint="eastAsia"/>
          <w:sz w:val="32"/>
          <w:szCs w:val="32"/>
        </w:rPr>
        <w:t>，为露天矿爆破安全提供关键技术支撑。</w:t>
      </w:r>
    </w:p>
    <w:p w14:paraId="3A32BBC3" w14:textId="77777777" w:rsidR="00702D76" w:rsidRPr="00702D76" w:rsidRDefault="00702D76" w:rsidP="00702D76">
      <w:pPr>
        <w:spacing w:after="0" w:line="560" w:lineRule="exact"/>
        <w:ind w:firstLineChars="200" w:firstLine="640"/>
        <w:rPr>
          <w:rFonts w:ascii="方正仿宋_GB2312" w:eastAsia="方正仿宋_GB2312" w:hAnsi="方正仿宋_GB2312" w:cs="方正仿宋_GB2312"/>
          <w:sz w:val="32"/>
          <w:szCs w:val="32"/>
        </w:rPr>
      </w:pPr>
      <w:r w:rsidRPr="00702D76">
        <w:rPr>
          <w:rFonts w:ascii="宋体" w:eastAsia="宋体" w:hAnsi="宋体" w:cs="宋体" w:hint="eastAsia"/>
          <w:sz w:val="32"/>
          <w:szCs w:val="32"/>
        </w:rPr>
        <w:t>（三）多源数据驱动的爆破震动边坡灾害预测预警与智能防控技术：针对边坡灾害预测预警与工程防控技术体系不完善等难题，发明了多</w:t>
      </w:r>
      <w:proofErr w:type="gramStart"/>
      <w:r w:rsidRPr="00702D76">
        <w:rPr>
          <w:rFonts w:ascii="宋体" w:eastAsia="宋体" w:hAnsi="宋体" w:cs="宋体" w:hint="eastAsia"/>
          <w:sz w:val="32"/>
          <w:szCs w:val="32"/>
        </w:rPr>
        <w:t>源数据</w:t>
      </w:r>
      <w:proofErr w:type="gramEnd"/>
      <w:r w:rsidRPr="00702D76">
        <w:rPr>
          <w:rFonts w:ascii="宋体" w:eastAsia="宋体" w:hAnsi="宋体" w:cs="宋体" w:hint="eastAsia"/>
          <w:sz w:val="32"/>
          <w:szCs w:val="32"/>
        </w:rPr>
        <w:t>融合采集体系，提出了爆破震动边坡灾害智能防控技术，创新了集成学习融合的预测模型构建方法，解决了灾害演化规律不清、预测精度不足的问题，实现了边坡灾害分级预警，推动了矿山</w:t>
      </w:r>
      <w:proofErr w:type="gramStart"/>
      <w:r w:rsidRPr="00702D76">
        <w:rPr>
          <w:rFonts w:ascii="宋体" w:eastAsia="宋体" w:hAnsi="宋体" w:cs="宋体" w:hint="eastAsia"/>
          <w:sz w:val="32"/>
          <w:szCs w:val="32"/>
        </w:rPr>
        <w:t>边坡管控向</w:t>
      </w:r>
      <w:proofErr w:type="gramEnd"/>
      <w:r w:rsidRPr="00702D76">
        <w:rPr>
          <w:rFonts w:ascii="宋体" w:eastAsia="宋体" w:hAnsi="宋体" w:cs="宋体" w:hint="eastAsia"/>
          <w:sz w:val="32"/>
          <w:szCs w:val="32"/>
        </w:rPr>
        <w:t>数据驱动智能化转变。</w:t>
      </w:r>
    </w:p>
    <w:p w14:paraId="208E3F04" w14:textId="475A01AE" w:rsidR="00DC7DC6" w:rsidRDefault="00702D76" w:rsidP="00702D76">
      <w:pPr>
        <w:spacing w:after="0" w:line="560" w:lineRule="exact"/>
        <w:ind w:firstLineChars="200" w:firstLine="640"/>
        <w:rPr>
          <w:rFonts w:ascii="方正仿宋_GB2312" w:eastAsia="方正仿宋_GB2312" w:hAnsi="方正仿宋_GB2312" w:cs="方正仿宋_GB2312"/>
          <w:sz w:val="32"/>
          <w:szCs w:val="32"/>
        </w:rPr>
      </w:pPr>
      <w:r w:rsidRPr="00702D76">
        <w:rPr>
          <w:rFonts w:ascii="宋体" w:eastAsia="宋体" w:hAnsi="宋体" w:cs="宋体" w:hint="eastAsia"/>
          <w:sz w:val="32"/>
          <w:szCs w:val="32"/>
        </w:rPr>
        <w:t>该项目授权国际</w:t>
      </w:r>
      <w:r w:rsidRPr="00702D76">
        <w:rPr>
          <w:rFonts w:ascii="方正仿宋_GB2312" w:eastAsia="方正仿宋_GB2312" w:hAnsi="方正仿宋_GB2312" w:cs="方正仿宋_GB2312" w:hint="eastAsia"/>
          <w:sz w:val="32"/>
          <w:szCs w:val="32"/>
        </w:rPr>
        <w:t>/</w:t>
      </w:r>
      <w:r w:rsidRPr="00702D76">
        <w:rPr>
          <w:rFonts w:ascii="宋体" w:eastAsia="宋体" w:hAnsi="宋体" w:cs="宋体" w:hint="eastAsia"/>
          <w:sz w:val="32"/>
          <w:szCs w:val="32"/>
        </w:rPr>
        <w:t>国家发明专利</w:t>
      </w:r>
      <w:r w:rsidRPr="00702D76">
        <w:rPr>
          <w:rFonts w:ascii="方正仿宋_GB2312" w:eastAsia="方正仿宋_GB2312" w:hAnsi="方正仿宋_GB2312" w:cs="方正仿宋_GB2312" w:hint="eastAsia"/>
          <w:sz w:val="32"/>
          <w:szCs w:val="32"/>
        </w:rPr>
        <w:t>25</w:t>
      </w:r>
      <w:r w:rsidRPr="00702D76">
        <w:rPr>
          <w:rFonts w:ascii="宋体" w:eastAsia="宋体" w:hAnsi="宋体" w:cs="宋体" w:hint="eastAsia"/>
          <w:sz w:val="32"/>
          <w:szCs w:val="32"/>
        </w:rPr>
        <w:t>件，软件著作权</w:t>
      </w:r>
      <w:r w:rsidRPr="00702D76">
        <w:rPr>
          <w:rFonts w:ascii="方正仿宋_GB2312" w:eastAsia="方正仿宋_GB2312" w:hAnsi="方正仿宋_GB2312" w:cs="方正仿宋_GB2312" w:hint="eastAsia"/>
          <w:sz w:val="32"/>
          <w:szCs w:val="32"/>
        </w:rPr>
        <w:t>7</w:t>
      </w:r>
      <w:r w:rsidRPr="00702D76">
        <w:rPr>
          <w:rFonts w:ascii="宋体" w:eastAsia="宋体" w:hAnsi="宋体" w:cs="宋体" w:hint="eastAsia"/>
          <w:sz w:val="32"/>
          <w:szCs w:val="32"/>
        </w:rPr>
        <w:t>项，出版专著</w:t>
      </w:r>
      <w:r w:rsidRPr="00702D76">
        <w:rPr>
          <w:rFonts w:ascii="方正仿宋_GB2312" w:eastAsia="方正仿宋_GB2312" w:hAnsi="方正仿宋_GB2312" w:cs="方正仿宋_GB2312" w:hint="eastAsia"/>
          <w:sz w:val="32"/>
          <w:szCs w:val="32"/>
        </w:rPr>
        <w:t>8</w:t>
      </w:r>
      <w:r w:rsidRPr="00702D76">
        <w:rPr>
          <w:rFonts w:ascii="宋体" w:eastAsia="宋体" w:hAnsi="宋体" w:cs="宋体" w:hint="eastAsia"/>
          <w:sz w:val="32"/>
          <w:szCs w:val="32"/>
        </w:rPr>
        <w:t>部，发表</w:t>
      </w:r>
      <w:r w:rsidRPr="00702D76">
        <w:rPr>
          <w:rFonts w:ascii="方正仿宋_GB2312" w:eastAsia="方正仿宋_GB2312" w:hAnsi="方正仿宋_GB2312" w:cs="方正仿宋_GB2312" w:hint="eastAsia"/>
          <w:sz w:val="32"/>
          <w:szCs w:val="32"/>
        </w:rPr>
        <w:t>SCI</w:t>
      </w:r>
      <w:r w:rsidRPr="00702D76">
        <w:rPr>
          <w:rFonts w:ascii="宋体" w:eastAsia="宋体" w:hAnsi="宋体" w:cs="宋体" w:hint="eastAsia"/>
          <w:sz w:val="32"/>
          <w:szCs w:val="32"/>
        </w:rPr>
        <w:t>收录论文</w:t>
      </w:r>
      <w:r w:rsidRPr="00702D76">
        <w:rPr>
          <w:rFonts w:ascii="方正仿宋_GB2312" w:eastAsia="方正仿宋_GB2312" w:hAnsi="方正仿宋_GB2312" w:cs="方正仿宋_GB2312" w:hint="eastAsia"/>
          <w:sz w:val="32"/>
          <w:szCs w:val="32"/>
        </w:rPr>
        <w:t>38</w:t>
      </w:r>
      <w:r w:rsidRPr="00702D76">
        <w:rPr>
          <w:rFonts w:ascii="宋体" w:eastAsia="宋体" w:hAnsi="宋体" w:cs="宋体" w:hint="eastAsia"/>
          <w:sz w:val="32"/>
          <w:szCs w:val="32"/>
        </w:rPr>
        <w:t>篇，制定标准</w:t>
      </w:r>
      <w:r w:rsidRPr="00702D76">
        <w:rPr>
          <w:rFonts w:ascii="方正仿宋_GB2312" w:eastAsia="方正仿宋_GB2312" w:hAnsi="方正仿宋_GB2312" w:cs="方正仿宋_GB2312" w:hint="eastAsia"/>
          <w:sz w:val="32"/>
          <w:szCs w:val="32"/>
        </w:rPr>
        <w:t>6</w:t>
      </w:r>
      <w:r w:rsidRPr="00702D76">
        <w:rPr>
          <w:rFonts w:ascii="宋体" w:eastAsia="宋体" w:hAnsi="宋体" w:cs="宋体" w:hint="eastAsia"/>
          <w:sz w:val="32"/>
          <w:szCs w:val="32"/>
        </w:rPr>
        <w:t>项。项目成果获</w:t>
      </w:r>
      <w:r w:rsidRPr="00702D76">
        <w:rPr>
          <w:rFonts w:ascii="宋体" w:eastAsia="宋体" w:hAnsi="宋体" w:cs="宋体" w:hint="eastAsia"/>
          <w:sz w:val="32"/>
          <w:szCs w:val="32"/>
        </w:rPr>
        <w:lastRenderedPageBreak/>
        <w:t>得国内同行高度认可，经北京发明协会等相关机构成果鉴定，蔡美峰院士、王运敏院士、王国法院士、赖远明院士、杨春和院士、吴爱祥院士、李术才院士、杜时贵院士等专家一致认为：“整体技术水平达到国际先进，其中全链条爆破参数优化技术和多源数据融合的精准预测与智能防控技术达到国际领先水平”。项目成果已成功应用于山东、山西、内蒙古、河南、安徽、陕西、云南等地十余座大型露天矿山中，近三年新增产值</w:t>
      </w:r>
      <w:r w:rsidRPr="00702D76">
        <w:rPr>
          <w:rFonts w:ascii="方正仿宋_GB2312" w:eastAsia="方正仿宋_GB2312" w:hAnsi="方正仿宋_GB2312" w:cs="方正仿宋_GB2312" w:hint="eastAsia"/>
          <w:sz w:val="32"/>
          <w:szCs w:val="32"/>
        </w:rPr>
        <w:t>19.2</w:t>
      </w:r>
      <w:r w:rsidRPr="00702D76">
        <w:rPr>
          <w:rFonts w:ascii="宋体" w:eastAsia="宋体" w:hAnsi="宋体" w:cs="宋体" w:hint="eastAsia"/>
          <w:sz w:val="32"/>
          <w:szCs w:val="32"/>
        </w:rPr>
        <w:t>亿元，节约工程治理投资</w:t>
      </w:r>
      <w:r w:rsidRPr="00702D76">
        <w:rPr>
          <w:rFonts w:ascii="方正仿宋_GB2312" w:eastAsia="方正仿宋_GB2312" w:hAnsi="方正仿宋_GB2312" w:cs="方正仿宋_GB2312" w:hint="eastAsia"/>
          <w:sz w:val="32"/>
          <w:szCs w:val="32"/>
        </w:rPr>
        <w:t>5.8</w:t>
      </w:r>
      <w:r w:rsidRPr="00702D76">
        <w:rPr>
          <w:rFonts w:ascii="宋体" w:eastAsia="宋体" w:hAnsi="宋体" w:cs="宋体" w:hint="eastAsia"/>
          <w:sz w:val="32"/>
          <w:szCs w:val="32"/>
        </w:rPr>
        <w:t>亿元，有效解决了行业核心工程难题，实现了我国露天煤矿爆破与土地复垦领域的技术升级，牵引了露天采矿行业向智能、绿色、高效方向发展，保障了矿山安全生产，稳定了矿区生态系统，提升了我国露天采矿行业核心竞争力与国际影响力，经济和社会效益显著。</w:t>
      </w:r>
    </w:p>
    <w:sectPr w:rsidR="00DC7D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84F58" w14:textId="77777777" w:rsidR="00556E71" w:rsidRDefault="00556E71">
      <w:pPr>
        <w:spacing w:line="240" w:lineRule="auto"/>
      </w:pPr>
      <w:r>
        <w:separator/>
      </w:r>
    </w:p>
  </w:endnote>
  <w:endnote w:type="continuationSeparator" w:id="0">
    <w:p w14:paraId="3666BA43" w14:textId="77777777" w:rsidR="00556E71" w:rsidRDefault="00556E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Segoe Print"/>
    <w:charset w:val="00"/>
    <w:family w:val="swiss"/>
    <w:pitch w:val="default"/>
    <w:sig w:usb0="00000000" w:usb1="00000000"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altName w:val="Segoe Print"/>
    <w:charset w:val="00"/>
    <w:family w:val="swiss"/>
    <w:pitch w:val="default"/>
    <w:sig w:usb0="00000000" w:usb1="00000000"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仿宋_GB2312">
    <w:altName w:val="微软雅黑"/>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41036" w14:textId="77777777" w:rsidR="00556E71" w:rsidRDefault="00556E71">
      <w:pPr>
        <w:spacing w:after="0"/>
      </w:pPr>
      <w:r>
        <w:separator/>
      </w:r>
    </w:p>
  </w:footnote>
  <w:footnote w:type="continuationSeparator" w:id="0">
    <w:p w14:paraId="3B5FB455" w14:textId="77777777" w:rsidR="00556E71" w:rsidRDefault="00556E7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E9"/>
    <w:rsid w:val="0011362E"/>
    <w:rsid w:val="001B566B"/>
    <w:rsid w:val="002001E9"/>
    <w:rsid w:val="00224A3A"/>
    <w:rsid w:val="002644CB"/>
    <w:rsid w:val="002757A1"/>
    <w:rsid w:val="002D4E04"/>
    <w:rsid w:val="002E4C5F"/>
    <w:rsid w:val="004044C5"/>
    <w:rsid w:val="004C3499"/>
    <w:rsid w:val="00556E71"/>
    <w:rsid w:val="00583DFF"/>
    <w:rsid w:val="00597FDE"/>
    <w:rsid w:val="00601467"/>
    <w:rsid w:val="0060799F"/>
    <w:rsid w:val="006D32C6"/>
    <w:rsid w:val="00702D76"/>
    <w:rsid w:val="007932E6"/>
    <w:rsid w:val="00832A08"/>
    <w:rsid w:val="009209DC"/>
    <w:rsid w:val="009341AF"/>
    <w:rsid w:val="009C3E2D"/>
    <w:rsid w:val="00A640AF"/>
    <w:rsid w:val="00C43EF7"/>
    <w:rsid w:val="00C666D8"/>
    <w:rsid w:val="00C80613"/>
    <w:rsid w:val="00CA379E"/>
    <w:rsid w:val="00DC7DC6"/>
    <w:rsid w:val="00DE74AC"/>
    <w:rsid w:val="00E75CAB"/>
    <w:rsid w:val="00FF48B3"/>
    <w:rsid w:val="142F5E1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022EB"/>
  <w15:docId w15:val="{7E0839D0-96E4-408C-B020-7E02AA14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lang w:val="en-CA"/>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after="0" w:line="360" w:lineRule="auto"/>
      <w:ind w:firstLineChars="200" w:firstLine="480"/>
    </w:pPr>
    <w:rPr>
      <w:rFonts w:ascii="仿宋_GB2312" w:hAnsiTheme="minorEastAsia" w:cs="Times New Roman"/>
      <w:kern w:val="0"/>
      <w:lang w:val="en-US"/>
      <w14:ligatures w14:val="none"/>
    </w:rPr>
  </w:style>
  <w:style w:type="paragraph" w:styleId="a5">
    <w:name w:val="footer"/>
    <w:basedOn w:val="a"/>
    <w:link w:val="a6"/>
    <w:uiPriority w:val="99"/>
    <w:unhideWhenUsed/>
    <w:pPr>
      <w:tabs>
        <w:tab w:val="center" w:pos="4153"/>
        <w:tab w:val="right" w:pos="8306"/>
      </w:tabs>
      <w:snapToGrid w:val="0"/>
      <w:spacing w:line="240" w:lineRule="auto"/>
    </w:pPr>
    <w:rPr>
      <w:sz w:val="18"/>
      <w:szCs w:val="18"/>
    </w:rPr>
  </w:style>
  <w:style w:type="paragraph" w:styleId="a7">
    <w:name w:val="header"/>
    <w:basedOn w:val="a"/>
    <w:link w:val="a8"/>
    <w:uiPriority w:val="99"/>
    <w:unhideWhenUsed/>
    <w:pPr>
      <w:tabs>
        <w:tab w:val="center" w:pos="4153"/>
        <w:tab w:val="right" w:pos="8306"/>
      </w:tabs>
      <w:snapToGrid w:val="0"/>
      <w:spacing w:line="240" w:lineRule="auto"/>
      <w:jc w:val="center"/>
    </w:pPr>
    <w:rPr>
      <w:sz w:val="18"/>
      <w:szCs w:val="18"/>
    </w:rPr>
  </w:style>
  <w:style w:type="paragraph" w:styleId="a9">
    <w:name w:val="Subtitle"/>
    <w:basedOn w:val="a"/>
    <w:next w:val="a"/>
    <w:link w:val="aa"/>
    <w:uiPriority w:val="11"/>
    <w:qFormat/>
    <w:rPr>
      <w:rFonts w:eastAsiaTheme="majorEastAsia" w:cstheme="majorBidi"/>
      <w:color w:val="595959" w:themeColor="text1" w:themeTint="A6"/>
      <w:spacing w:val="15"/>
      <w:sz w:val="28"/>
      <w:szCs w:val="28"/>
    </w:rPr>
  </w:style>
  <w:style w:type="paragraph" w:styleId="ab">
    <w:name w:val="Title"/>
    <w:basedOn w:val="a"/>
    <w:next w:val="a"/>
    <w:link w:val="ac"/>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qFormat/>
    <w:rPr>
      <w:rFonts w:eastAsiaTheme="majorEastAsia" w:cstheme="majorBidi"/>
      <w:color w:val="0F4761" w:themeColor="accent1" w:themeShade="BF"/>
      <w:sz w:val="28"/>
      <w:szCs w:val="28"/>
    </w:rPr>
  </w:style>
  <w:style w:type="character" w:customStyle="1" w:styleId="40">
    <w:name w:val="标题 4 字符"/>
    <w:basedOn w:val="a0"/>
    <w:link w:val="4"/>
    <w:uiPriority w:val="9"/>
    <w:semiHidden/>
    <w:qFormat/>
    <w:rPr>
      <w:rFonts w:eastAsiaTheme="majorEastAsia" w:cstheme="majorBidi"/>
      <w:i/>
      <w:iCs/>
      <w:color w:val="0F4761" w:themeColor="accent1" w:themeShade="BF"/>
    </w:rPr>
  </w:style>
  <w:style w:type="character" w:customStyle="1" w:styleId="50">
    <w:name w:val="标题 5 字符"/>
    <w:basedOn w:val="a0"/>
    <w:link w:val="5"/>
    <w:uiPriority w:val="9"/>
    <w:semiHidden/>
    <w:qFormat/>
    <w:rPr>
      <w:rFonts w:eastAsiaTheme="majorEastAsia" w:cstheme="majorBidi"/>
      <w:color w:val="0F4761" w:themeColor="accent1" w:themeShade="BF"/>
    </w:rPr>
  </w:style>
  <w:style w:type="character" w:customStyle="1" w:styleId="60">
    <w:name w:val="标题 6 字符"/>
    <w:basedOn w:val="a0"/>
    <w:link w:val="6"/>
    <w:uiPriority w:val="9"/>
    <w:semiHidden/>
    <w:qFormat/>
    <w:rPr>
      <w:rFonts w:eastAsiaTheme="majorEastAsia" w:cstheme="majorBidi"/>
      <w:i/>
      <w:iCs/>
      <w:color w:val="595959" w:themeColor="text1" w:themeTint="A6"/>
    </w:rPr>
  </w:style>
  <w:style w:type="character" w:customStyle="1" w:styleId="70">
    <w:name w:val="标题 7 字符"/>
    <w:basedOn w:val="a0"/>
    <w:link w:val="7"/>
    <w:uiPriority w:val="9"/>
    <w:semiHidden/>
    <w:qFormat/>
    <w:rPr>
      <w:rFonts w:eastAsiaTheme="majorEastAsia" w:cstheme="majorBidi"/>
      <w:color w:val="595959" w:themeColor="text1" w:themeTint="A6"/>
    </w:rPr>
  </w:style>
  <w:style w:type="character" w:customStyle="1" w:styleId="80">
    <w:name w:val="标题 8 字符"/>
    <w:basedOn w:val="a0"/>
    <w:link w:val="8"/>
    <w:uiPriority w:val="9"/>
    <w:semiHidden/>
    <w:rPr>
      <w:rFonts w:eastAsiaTheme="majorEastAsia" w:cstheme="majorBidi"/>
      <w:i/>
      <w:iCs/>
      <w:color w:val="262626" w:themeColor="text1" w:themeTint="D9"/>
    </w:rPr>
  </w:style>
  <w:style w:type="character" w:customStyle="1" w:styleId="90">
    <w:name w:val="标题 9 字符"/>
    <w:basedOn w:val="a0"/>
    <w:link w:val="9"/>
    <w:uiPriority w:val="9"/>
    <w:semiHidden/>
    <w:qFormat/>
    <w:rPr>
      <w:rFonts w:eastAsiaTheme="majorEastAsia" w:cstheme="majorBidi"/>
      <w:color w:val="262626" w:themeColor="text1" w:themeTint="D9"/>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eastAsiaTheme="majorEastAsia"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纯文本 字符"/>
    <w:basedOn w:val="a0"/>
    <w:link w:val="a3"/>
    <w:rPr>
      <w:rFonts w:ascii="仿宋_GB2312" w:hAnsiTheme="minorEastAsia" w:cs="Times New Roman"/>
      <w:kern w:val="0"/>
      <w:lang w:val="en-US"/>
      <w14:ligatures w14:val="non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3</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Zhao</dc:creator>
  <cp:lastModifiedBy>Administrator</cp:lastModifiedBy>
  <cp:revision>2</cp:revision>
  <dcterms:created xsi:type="dcterms:W3CDTF">2026-05-06T05:59:00Z</dcterms:created>
  <dcterms:modified xsi:type="dcterms:W3CDTF">2026-05-06T05:59:00Z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eyJoZGlkIjoiZTNhMDQxYmNmOTVjZmQ3OTEwNDk1ZTk1Mzc0MTVkMmEiLCJ1c2VySWQiOiIyMDYyMzEzOTYifQ==</vt:lpwstr>
  </property>
  <property fmtid="{D5CDD505-2E9C-101B-9397-08002B2CF9AE}" pid="3" name="KSOProductBuildVer">
    <vt:lpwstr>2052-12.1.0.20784</vt:lpwstr>
  </property>
  <property fmtid="{D5CDD505-2E9C-101B-9397-08002B2CF9AE}" pid="4" name="ICV">
    <vt:lpwstr>7ADAEA8F35254CCAB1FD9616992EF7CD_13</vt:lpwstr>
  </property>
</Properties>
</file>